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0C1E" w14:textId="77777777" w:rsidR="00043DA0" w:rsidRDefault="002D5A04" w:rsidP="00A94661">
      <w:pPr>
        <w:pStyle w:val="Heading1"/>
        <w:rPr>
          <w:rFonts w:eastAsia="Calibri" w:cs="Calibri"/>
        </w:rPr>
      </w:pPr>
      <w:r>
        <w:t xml:space="preserve">Pro </w:t>
      </w:r>
      <w:proofErr w:type="gramStart"/>
      <w:r>
        <w:t>forma</w:t>
      </w:r>
      <w:proofErr w:type="gramEnd"/>
      <w:r>
        <w:t xml:space="preserve"> for referral of significant supply chain shocks to the food regulator </w:t>
      </w:r>
    </w:p>
    <w:p w14:paraId="01D8AE4C" w14:textId="77777777" w:rsidR="00043DA0" w:rsidRDefault="002D5A04">
      <w:pPr>
        <w:pStyle w:val="BodyA"/>
        <w:spacing w:before="120" w:after="0" w:line="240" w:lineRule="auto"/>
      </w:pPr>
      <w:r>
        <w:t xml:space="preserve">This pro forma is for businesses to request consideration of supply chain disruptions in compliance with labelling, compositional and packaging requirements of the Australia New Zealand Food Standards Code (the Code) </w:t>
      </w:r>
      <w:proofErr w:type="gramStart"/>
      <w:r>
        <w:t>as a result of</w:t>
      </w:r>
      <w:proofErr w:type="gramEnd"/>
      <w:r>
        <w:t xml:space="preserve"> significant supply chain shocks. Significant supply chain shocks are those that are beyond the reasonable control of a business and there are reasonable </w:t>
      </w:r>
      <w:proofErr w:type="gramStart"/>
      <w:r>
        <w:t>grounds</w:t>
      </w:r>
      <w:proofErr w:type="gramEnd"/>
      <w:r>
        <w:t xml:space="preserve"> why the business </w:t>
      </w:r>
      <w:proofErr w:type="gramStart"/>
      <w:r>
        <w:t>is not able to</w:t>
      </w:r>
      <w:proofErr w:type="gramEnd"/>
      <w:r>
        <w:t xml:space="preserve"> secure access through other channels.</w:t>
      </w:r>
    </w:p>
    <w:p w14:paraId="70A35374" w14:textId="77777777" w:rsidR="00043DA0" w:rsidRDefault="002D5A04">
      <w:pPr>
        <w:pStyle w:val="BodyA"/>
        <w:spacing w:before="120" w:after="0" w:line="240" w:lineRule="auto"/>
      </w:pPr>
      <w:r>
        <w:t>The pro forma is intended as a guide to businesses and jurisdictions and to promote consistency in how jurisdictions respond to requests for advice. The existence of the pro forma does not override each jurisdiction’s statutory responsibilities or how to exercise those responsibilities.</w:t>
      </w:r>
    </w:p>
    <w:p w14:paraId="44C56BAC" w14:textId="77777777" w:rsidR="00043DA0" w:rsidRDefault="002D5A04" w:rsidP="00A94661">
      <w:pPr>
        <w:pStyle w:val="Heading2"/>
        <w:rPr>
          <w:rFonts w:eastAsia="Calibri" w:cs="Calibri"/>
          <w:b w:val="0"/>
        </w:rPr>
      </w:pPr>
      <w:r>
        <w:t>Key points for consideration by food regulators and businesses:</w:t>
      </w:r>
    </w:p>
    <w:p w14:paraId="64C090DB" w14:textId="77777777" w:rsidR="00043DA0" w:rsidRDefault="002D5A04" w:rsidP="00A94661">
      <w:pPr>
        <w:pStyle w:val="ListBullet"/>
      </w:pPr>
      <w:r>
        <w:t xml:space="preserve">As a result of global and domestic supply chain shocks, food businesses may be impacted in </w:t>
      </w:r>
      <w:proofErr w:type="gramStart"/>
      <w:r>
        <w:t>a number of</w:t>
      </w:r>
      <w:proofErr w:type="gramEnd"/>
      <w:r>
        <w:t xml:space="preserve"> ways, including loss of access to regular ingredient supplies, reduced availability of packaging, or </w:t>
      </w:r>
      <w:r>
        <w:rPr>
          <w:shd w:val="clear" w:color="auto" w:fill="FFFFFF"/>
        </w:rPr>
        <w:t>supply shortages for certain retail food products</w:t>
      </w:r>
      <w:r>
        <w:t>.</w:t>
      </w:r>
    </w:p>
    <w:p w14:paraId="4A820690" w14:textId="77777777" w:rsidR="00043DA0" w:rsidRDefault="002D5A04" w:rsidP="00A94661">
      <w:pPr>
        <w:pStyle w:val="ListBullet"/>
      </w:pPr>
      <w:r>
        <w:t xml:space="preserve">Stakeholder groups have requested that the food regulatory system consider a flexible approach to extraordinary and unforeseen circumstances that businesses face </w:t>
      </w:r>
      <w:proofErr w:type="gramStart"/>
      <w:r>
        <w:t>as a result of</w:t>
      </w:r>
      <w:proofErr w:type="gramEnd"/>
      <w:r>
        <w:t xml:space="preserve"> the COVID-19 pandemic, global unrest, and national domestic issues (e.g. natural disasters). </w:t>
      </w:r>
      <w:r>
        <w:rPr>
          <w:shd w:val="clear" w:color="auto" w:fill="FFFFFF"/>
        </w:rPr>
        <w:t>In New Zealand companies have requested consideration around export-intended products in response to unprecedented pressure on the domestic supply chain.</w:t>
      </w:r>
    </w:p>
    <w:p w14:paraId="79429674" w14:textId="77777777" w:rsidR="00043DA0" w:rsidRPr="00A94661" w:rsidRDefault="002D5A04" w:rsidP="00A94661">
      <w:pPr>
        <w:pStyle w:val="ListBullet"/>
        <w:rPr>
          <w:rStyle w:val="Strong"/>
        </w:rPr>
      </w:pPr>
      <w:r w:rsidRPr="00A94661">
        <w:rPr>
          <w:rStyle w:val="Strong"/>
        </w:rPr>
        <w:t>Critically, any request by business(es) must not</w:t>
      </w:r>
    </w:p>
    <w:p w14:paraId="0A92DFAC" w14:textId="77777777" w:rsidR="00043DA0" w:rsidRPr="00A94661" w:rsidRDefault="002D5A04" w:rsidP="00A94661">
      <w:pPr>
        <w:pStyle w:val="ListBullet3"/>
      </w:pPr>
      <w:r w:rsidRPr="00A94661">
        <w:t>pose a risk to consumers’ health and safety, or</w:t>
      </w:r>
    </w:p>
    <w:p w14:paraId="3F9B82F4" w14:textId="77777777" w:rsidR="00043DA0" w:rsidRPr="00A94661" w:rsidRDefault="002D5A04" w:rsidP="00A94661">
      <w:pPr>
        <w:pStyle w:val="ListBullet3"/>
      </w:pPr>
      <w:r w:rsidRPr="00A94661">
        <w:t>appreciably reduce information required for consumers’ informed choice.</w:t>
      </w:r>
    </w:p>
    <w:p w14:paraId="4BFBB0B1" w14:textId="77777777" w:rsidR="00043DA0" w:rsidRPr="00A94661" w:rsidRDefault="002D5A04" w:rsidP="00A94661">
      <w:pPr>
        <w:pStyle w:val="ListBullet"/>
        <w:rPr>
          <w:rStyle w:val="Strong"/>
        </w:rPr>
      </w:pPr>
      <w:r w:rsidRPr="00A94661">
        <w:rPr>
          <w:rStyle w:val="Strong"/>
        </w:rPr>
        <w:t>Requests will not be considered where these</w:t>
      </w:r>
      <w:proofErr w:type="gramStart"/>
      <w:r w:rsidRPr="00A94661">
        <w:rPr>
          <w:rStyle w:val="Strong"/>
        </w:rPr>
        <w:t>:</w:t>
      </w:r>
      <w:proofErr w:type="gramEnd"/>
    </w:p>
    <w:p w14:paraId="11B65F47" w14:textId="77777777" w:rsidR="00043DA0" w:rsidRPr="00A94661" w:rsidRDefault="002D5A04" w:rsidP="00A94661">
      <w:pPr>
        <w:pStyle w:val="ListBullet3"/>
      </w:pPr>
      <w:r w:rsidRPr="00A94661">
        <w:t xml:space="preserve">Seek the use of an unapproved processing aid or food </w:t>
      </w:r>
      <w:proofErr w:type="gramStart"/>
      <w:r w:rsidRPr="00A94661">
        <w:t>additive;</w:t>
      </w:r>
      <w:proofErr w:type="gramEnd"/>
    </w:p>
    <w:p w14:paraId="1C71ECA1" w14:textId="77777777" w:rsidR="00043DA0" w:rsidRPr="00A94661" w:rsidRDefault="002D5A04" w:rsidP="00A94661">
      <w:pPr>
        <w:pStyle w:val="ListBullet3"/>
      </w:pPr>
      <w:r w:rsidRPr="00A94661">
        <w:t>Include a novel food or nutritive substance; or</w:t>
      </w:r>
    </w:p>
    <w:p w14:paraId="598F9B0D" w14:textId="77777777" w:rsidR="00043DA0" w:rsidRPr="00A94661" w:rsidRDefault="002D5A04" w:rsidP="00A94661">
      <w:pPr>
        <w:pStyle w:val="ListBullet3"/>
      </w:pPr>
      <w:r w:rsidRPr="00A94661">
        <w:t>Involves a defining ingredient, subject to a claim, or would impact an existing rating/ranking (e.g. Health Star); or</w:t>
      </w:r>
    </w:p>
    <w:p w14:paraId="753C3542" w14:textId="39E38B69" w:rsidR="00043DA0" w:rsidRPr="00A94661" w:rsidRDefault="002D5A04" w:rsidP="00A94661">
      <w:pPr>
        <w:pStyle w:val="ListBullet3"/>
      </w:pPr>
      <w:r w:rsidRPr="00A94661">
        <w:t xml:space="preserve">Include a variation to </w:t>
      </w:r>
      <w:r w:rsidR="001442DE" w:rsidRPr="00A94661">
        <w:t>a</w:t>
      </w:r>
      <w:r w:rsidRPr="00A94661">
        <w:t xml:space="preserve"> Maximum Residue Limit (MRL); or</w:t>
      </w:r>
    </w:p>
    <w:p w14:paraId="21D428A1" w14:textId="77777777" w:rsidR="00043DA0" w:rsidRPr="00A94661" w:rsidRDefault="002D5A04" w:rsidP="00A94661">
      <w:pPr>
        <w:pStyle w:val="ListBullet3"/>
      </w:pPr>
      <w:r w:rsidRPr="00A94661">
        <w:t>Involve complex or sensitive foods (such as infant formula or other foods covered under Standard 2.9 of the Code).</w:t>
      </w:r>
    </w:p>
    <w:p w14:paraId="63276182" w14:textId="77777777" w:rsidR="00043DA0" w:rsidRDefault="002D5A04" w:rsidP="00A94661">
      <w:pPr>
        <w:pStyle w:val="ListBullet"/>
      </w:pPr>
      <w:r>
        <w:t>Also of importance are the following considerations:</w:t>
      </w:r>
    </w:p>
    <w:p w14:paraId="78D49AD4" w14:textId="77777777" w:rsidR="00043DA0" w:rsidRDefault="002D5A04" w:rsidP="00A94661">
      <w:pPr>
        <w:pStyle w:val="ListBullet3"/>
      </w:pPr>
      <w:r>
        <w:t>In seeking this consideration of supply chain disruption, businesses should:</w:t>
      </w:r>
    </w:p>
    <w:p w14:paraId="0F44B8B8" w14:textId="77777777" w:rsidR="00043DA0" w:rsidRPr="00A94661" w:rsidRDefault="002D5A04" w:rsidP="00A94661">
      <w:pPr>
        <w:pStyle w:val="ListBullet4"/>
      </w:pPr>
      <w:r w:rsidRPr="00A94661">
        <w:t xml:space="preserve">employ their best </w:t>
      </w:r>
      <w:proofErr w:type="spellStart"/>
      <w:r w:rsidRPr="00A94661">
        <w:t>endeavours</w:t>
      </w:r>
      <w:proofErr w:type="spellEnd"/>
      <w:r w:rsidRPr="00A94661">
        <w:t xml:space="preserve"> to comply with all regulations wherever </w:t>
      </w:r>
      <w:proofErr w:type="gramStart"/>
      <w:r w:rsidRPr="00A94661">
        <w:t>possible;</w:t>
      </w:r>
      <w:proofErr w:type="gramEnd"/>
      <w:r w:rsidRPr="00A94661">
        <w:t xml:space="preserve"> </w:t>
      </w:r>
    </w:p>
    <w:p w14:paraId="5A6F2E81" w14:textId="77777777" w:rsidR="00043DA0" w:rsidRPr="00A94661" w:rsidRDefault="002D5A04" w:rsidP="00A94661">
      <w:pPr>
        <w:pStyle w:val="ListBullet4"/>
      </w:pPr>
      <w:r w:rsidRPr="00A94661">
        <w:t xml:space="preserve">use due diligence in assessing all alternative approaches to enable compliance with </w:t>
      </w:r>
      <w:proofErr w:type="gramStart"/>
      <w:r w:rsidRPr="00A94661">
        <w:t>regulations;</w:t>
      </w:r>
      <w:proofErr w:type="gramEnd"/>
    </w:p>
    <w:p w14:paraId="7657E586" w14:textId="77777777" w:rsidR="00043DA0" w:rsidRPr="00A94661" w:rsidRDefault="002D5A04" w:rsidP="00A94661">
      <w:pPr>
        <w:pStyle w:val="ListBullet4"/>
      </w:pPr>
      <w:r w:rsidRPr="00A94661">
        <w:t>where labelling or packaging issues arise, consider the practicality of over-sticking (preferred), by seeking approval from the relevant authority; and</w:t>
      </w:r>
    </w:p>
    <w:p w14:paraId="250D3DA4" w14:textId="77777777" w:rsidR="00043DA0" w:rsidRDefault="002D5A04" w:rsidP="00A94661">
      <w:pPr>
        <w:pStyle w:val="ListBullet4"/>
      </w:pPr>
      <w:r w:rsidRPr="00A94661">
        <w:t xml:space="preserve">use all appropriate communication channels to ensure consumers are not misled by any temporary changes to products or packaging (i.e. through social media, mass media, corporate websites and already-established consumer enquiry call </w:t>
      </w:r>
      <w:proofErr w:type="spellStart"/>
      <w:r w:rsidRPr="00A94661">
        <w:t>centres</w:t>
      </w:r>
      <w:proofErr w:type="spellEnd"/>
      <w:r w:rsidRPr="00A94661">
        <w:t>). Ideally, the communication program would be able to demonstrate an alternative method of comp</w:t>
      </w:r>
      <w:r>
        <w:t>liance where consumers are appropriately informed.</w:t>
      </w:r>
    </w:p>
    <w:p w14:paraId="08028F14" w14:textId="77777777" w:rsidR="00043DA0" w:rsidRDefault="002D5A04" w:rsidP="00A94661">
      <w:pPr>
        <w:pStyle w:val="ListBullet3"/>
      </w:pPr>
      <w:r>
        <w:lastRenderedPageBreak/>
        <w:t>Requests will only be sought while the significant supply shock impacts the Australian and New Zealand food and grocery supply chain, including imported products (noting that some products may have an extended shelf-life).</w:t>
      </w:r>
    </w:p>
    <w:p w14:paraId="6537A537" w14:textId="77777777" w:rsidR="00043DA0" w:rsidRDefault="002D5A04" w:rsidP="00A94661">
      <w:pPr>
        <w:pStyle w:val="ListBullet3"/>
      </w:pPr>
      <w:r>
        <w:t xml:space="preserve">Any requests by businesses will need to indicate </w:t>
      </w:r>
      <w:proofErr w:type="gramStart"/>
      <w:r>
        <w:t>a length</w:t>
      </w:r>
      <w:proofErr w:type="gramEnd"/>
      <w:r>
        <w:t xml:space="preserve"> of time any non-compliance is likely to apply for (noting that 6 months would be the usual maximum time to allow for resolution e.g. supply chain planning and logistics</w:t>
      </w:r>
      <w:proofErr w:type="gramStart"/>
      <w:r>
        <w:t>), and</w:t>
      </w:r>
      <w:proofErr w:type="gramEnd"/>
      <w:r>
        <w:t xml:space="preserve"> will be subject to review by regulators.</w:t>
      </w:r>
    </w:p>
    <w:p w14:paraId="22CA1C9A" w14:textId="77777777" w:rsidR="00043DA0" w:rsidRDefault="002D5A04" w:rsidP="00A94661">
      <w:pPr>
        <w:pStyle w:val="ListBullet3"/>
      </w:pPr>
      <w:r>
        <w:t>Appropriate records are to be maintained by the business and made available upon request by the regulators.</w:t>
      </w:r>
    </w:p>
    <w:p w14:paraId="3EB80FD2" w14:textId="02FBE6B9" w:rsidR="00043DA0" w:rsidRDefault="002D5A04" w:rsidP="00A94661">
      <w:pPr>
        <w:pStyle w:val="ListBullet"/>
      </w:pPr>
      <w:r>
        <w:t xml:space="preserve">Requests will be reviewed by the </w:t>
      </w:r>
      <w:hyperlink r:id="rId11" w:history="1">
        <w:r>
          <w:rPr>
            <w:rStyle w:val="Hyperlink0"/>
          </w:rPr>
          <w:t>home regulator</w:t>
        </w:r>
      </w:hyperlink>
      <w:r>
        <w:rPr>
          <w:vertAlign w:val="superscript"/>
        </w:rPr>
        <w:footnoteReference w:id="2"/>
      </w:r>
      <w:r>
        <w:t xml:space="preserve">, subject to businesses completing the information on this pro forma. Further information may be requested by the </w:t>
      </w:r>
      <w:hyperlink r:id="rId12" w:history="1">
        <w:r>
          <w:rPr>
            <w:rStyle w:val="Hyperlink0"/>
          </w:rPr>
          <w:t>home regulator</w:t>
        </w:r>
      </w:hyperlink>
      <w:r>
        <w:t xml:space="preserve"> in order to make an informed decision.</w:t>
      </w:r>
    </w:p>
    <w:p w14:paraId="3643B6E5" w14:textId="77777777" w:rsidR="00043DA0" w:rsidRDefault="002D5A04" w:rsidP="00A94661">
      <w:pPr>
        <w:pStyle w:val="ListBullet"/>
      </w:pPr>
      <w:r>
        <w:t>Any information submitted as part of the request will be held within the Food Regulation System and not disseminated further.</w:t>
      </w:r>
    </w:p>
    <w:p w14:paraId="5ECC2D3B" w14:textId="77777777" w:rsidR="00043DA0" w:rsidRDefault="002D5A04" w:rsidP="00A94661">
      <w:pPr>
        <w:pStyle w:val="ListBullet"/>
      </w:pPr>
      <w:r>
        <w:t xml:space="preserve">It is incumbent on businesses to find a solution that suits their consumer and business needs. Food regulators </w:t>
      </w:r>
      <w:proofErr w:type="gramStart"/>
      <w:r>
        <w:t>are not able to</w:t>
      </w:r>
      <w:proofErr w:type="gramEnd"/>
      <w:r>
        <w:t xml:space="preserve"> act in a consultancy role.</w:t>
      </w:r>
    </w:p>
    <w:p w14:paraId="6B1156B7" w14:textId="316E9D9C" w:rsidR="00043DA0" w:rsidRPr="00A94661" w:rsidRDefault="002D5A04" w:rsidP="00A94661">
      <w:pPr>
        <w:pStyle w:val="ListBullet"/>
        <w:rPr>
          <w:rFonts w:eastAsia="Arial Unicode MS" w:cs="Arial Unicode MS"/>
        </w:rPr>
      </w:pPr>
      <w:r>
        <w:t>Details of any non-compliance will be made available to all food regulators to ensure transparency of the process.</w:t>
      </w:r>
    </w:p>
    <w:p w14:paraId="1338AD88" w14:textId="77777777" w:rsidR="00043DA0" w:rsidRDefault="002D5A04" w:rsidP="00A94661">
      <w:pPr>
        <w:pStyle w:val="Heading2"/>
        <w:rPr>
          <w:rFonts w:eastAsia="Calibri" w:cs="Calibri"/>
          <w:b w:val="0"/>
        </w:rPr>
      </w:pPr>
      <w:r>
        <w:t>How to submit this pro forma</w:t>
      </w:r>
    </w:p>
    <w:p w14:paraId="00660869" w14:textId="77777777" w:rsidR="00043DA0" w:rsidRDefault="002D5A04" w:rsidP="00A94661">
      <w:pPr>
        <w:rPr>
          <w:rStyle w:val="None"/>
          <w:b/>
          <w:bCs/>
        </w:rPr>
      </w:pPr>
      <w:r>
        <w:t xml:space="preserve">Businesses are expected to complete this pro forma in full and submit to their </w:t>
      </w:r>
      <w:hyperlink r:id="rId13" w:history="1">
        <w:r>
          <w:rPr>
            <w:rStyle w:val="Hyperlink2"/>
          </w:rPr>
          <w:t>home regulator via email</w:t>
        </w:r>
      </w:hyperlink>
      <w:r>
        <w:rPr>
          <w:rStyle w:val="None"/>
        </w:rPr>
        <w:t>.</w:t>
      </w:r>
    </w:p>
    <w:p w14:paraId="49789A9D" w14:textId="16490220" w:rsidR="00043DA0" w:rsidRDefault="002D5A04" w:rsidP="00A94661">
      <w:r>
        <w:rPr>
          <w:rStyle w:val="None"/>
        </w:rPr>
        <w:t xml:space="preserve">Any questions around the use of the pro forma should also be directed to the </w:t>
      </w:r>
      <w:hyperlink r:id="rId14" w:history="1">
        <w:r>
          <w:rPr>
            <w:rStyle w:val="Hyperlink3"/>
          </w:rPr>
          <w:t xml:space="preserve">home </w:t>
        </w:r>
        <w:r>
          <w:rPr>
            <w:rStyle w:val="Hyperlink0"/>
            <w:lang w:val="pt-PT"/>
          </w:rPr>
          <w:t>regulator</w:t>
        </w:r>
      </w:hyperlink>
      <w:r w:rsidRPr="00A94661">
        <w:t>.</w:t>
      </w:r>
      <w:r w:rsidRPr="00A94661">
        <w:br w:type="page"/>
      </w:r>
    </w:p>
    <w:p w14:paraId="32D0672E" w14:textId="6DB4D3AF" w:rsidR="00043DA0" w:rsidRDefault="002D5A04" w:rsidP="00A94661">
      <w:pPr>
        <w:rPr>
          <w:rStyle w:val="None"/>
          <w:b/>
          <w:bCs/>
          <w:sz w:val="26"/>
          <w:szCs w:val="26"/>
        </w:rPr>
      </w:pPr>
      <w:r>
        <w:rPr>
          <w:rStyle w:val="None"/>
          <w:b/>
          <w:bCs/>
          <w:sz w:val="26"/>
          <w:szCs w:val="26"/>
        </w:rPr>
        <w:t xml:space="preserve">Pro </w:t>
      </w:r>
      <w:proofErr w:type="gramStart"/>
      <w:r>
        <w:rPr>
          <w:rStyle w:val="None"/>
          <w:b/>
          <w:bCs/>
          <w:sz w:val="26"/>
          <w:szCs w:val="26"/>
        </w:rPr>
        <w:t>forma</w:t>
      </w:r>
      <w:proofErr w:type="gramEnd"/>
      <w:r>
        <w:rPr>
          <w:rStyle w:val="None"/>
          <w:b/>
          <w:bCs/>
          <w:sz w:val="26"/>
          <w:szCs w:val="26"/>
        </w:rPr>
        <w:t xml:space="preserve"> for businesses to request flexibility</w:t>
      </w:r>
    </w:p>
    <w:p w14:paraId="00132A01" w14:textId="57E5E5A2" w:rsidR="00043DA0" w:rsidRDefault="002D5A04" w:rsidP="00A94661">
      <w:r>
        <w:rPr>
          <w:rStyle w:val="None"/>
        </w:rPr>
        <w:t xml:space="preserve">The information in this pro forma is private and </w:t>
      </w:r>
      <w:r w:rsidR="001442DE">
        <w:rPr>
          <w:rStyle w:val="None"/>
        </w:rPr>
        <w:t>confidential and</w:t>
      </w:r>
      <w:r>
        <w:rPr>
          <w:rStyle w:val="None"/>
        </w:rPr>
        <w:t xml:space="preserve"> is not for further release beyond the Food Regulation System. </w:t>
      </w:r>
    </w:p>
    <w:p w14:paraId="6166C0ED" w14:textId="787A8788" w:rsidR="00043DA0" w:rsidRPr="00A94661" w:rsidRDefault="002D5A04" w:rsidP="00A94661">
      <w:r>
        <w:rPr>
          <w:rStyle w:val="None"/>
        </w:rPr>
        <w:t xml:space="preserve">In-confidence submissions may be subject to </w:t>
      </w:r>
      <w:proofErr w:type="gramStart"/>
      <w:r>
        <w:rPr>
          <w:rStyle w:val="None"/>
        </w:rPr>
        <w:t>release</w:t>
      </w:r>
      <w:proofErr w:type="gramEnd"/>
      <w:r>
        <w:rPr>
          <w:rStyle w:val="None"/>
        </w:rPr>
        <w:t xml:space="preserve"> under the provisions of the </w:t>
      </w:r>
      <w:r>
        <w:rPr>
          <w:rStyle w:val="None"/>
          <w:i/>
          <w:iCs/>
        </w:rPr>
        <w:t xml:space="preserve">Freedom of Information Act 1991 </w:t>
      </w:r>
      <w:r>
        <w:rPr>
          <w:rStyle w:val="None"/>
        </w:rPr>
        <w:t xml:space="preserve">(Commonwealth), </w:t>
      </w:r>
      <w:r>
        <w:rPr>
          <w:rStyle w:val="None"/>
          <w:shd w:val="clear" w:color="auto" w:fill="FFFFFF"/>
        </w:rPr>
        <w:t>the Official Information Act 1982 (NZ), or equivalent state/territory legislation</w:t>
      </w:r>
      <w:r>
        <w:rPr>
          <w:rStyle w:val="None"/>
        </w:rPr>
        <w:t xml:space="preserve">. You may want to keep only parts of your submission confidential. If this is the case, this should be indicated in your </w:t>
      </w:r>
      <w:r w:rsidRPr="00F56DE5">
        <w:rPr>
          <w:rStyle w:val="None"/>
        </w:rPr>
        <w:t>submission</w:t>
      </w:r>
      <w:r>
        <w:rPr>
          <w:rStyle w:val="None"/>
        </w:rPr>
        <w:t>.</w:t>
      </w:r>
    </w:p>
    <w:tbl>
      <w:tblPr>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024"/>
        <w:gridCol w:w="3770"/>
      </w:tblGrid>
      <w:tr w:rsidR="00A94661" w14:paraId="132E3BF9" w14:textId="77777777" w:rsidTr="00A94661">
        <w:trPr>
          <w:trHeight w:val="750"/>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E042248" w14:textId="77777777" w:rsidR="00043DA0" w:rsidRDefault="002D5A04" w:rsidP="00A94661">
            <w:r>
              <w:rPr>
                <w:rStyle w:val="None"/>
              </w:rPr>
              <w:t xml:space="preserve">Name of the person(s) completing this form, and </w:t>
            </w:r>
            <w:proofErr w:type="spellStart"/>
            <w:r>
              <w:rPr>
                <w:rStyle w:val="None"/>
              </w:rPr>
              <w:t>organisation</w:t>
            </w:r>
            <w:proofErr w:type="spellEnd"/>
            <w:r>
              <w:rPr>
                <w:rStyle w:val="None"/>
              </w:rPr>
              <w:t>/company represented</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40A5C" w14:textId="77777777" w:rsidR="00043DA0" w:rsidRDefault="00043DA0" w:rsidP="00A94661"/>
        </w:tc>
      </w:tr>
      <w:tr w:rsidR="00A94661" w14:paraId="7D7314D6"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FBF7D0C" w14:textId="77777777" w:rsidR="00043DA0" w:rsidRDefault="002D5A04" w:rsidP="00A94661">
            <w:r>
              <w:rPr>
                <w:rStyle w:val="None"/>
              </w:rPr>
              <w:t>Home state/country (head office location) and address of the company/</w:t>
            </w:r>
            <w:proofErr w:type="spellStart"/>
            <w:r>
              <w:rPr>
                <w:rStyle w:val="None"/>
              </w:rPr>
              <w:t>organisation</w:t>
            </w:r>
            <w:proofErr w:type="spellEnd"/>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D1B0A" w14:textId="77777777" w:rsidR="00043DA0" w:rsidRDefault="00043DA0" w:rsidP="00A94661"/>
        </w:tc>
      </w:tr>
      <w:tr w:rsidR="00A94661" w14:paraId="68AC78D6" w14:textId="77777777" w:rsidTr="00A94661">
        <w:trPr>
          <w:trHeight w:val="48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2F35D83" w14:textId="77777777" w:rsidR="00043DA0" w:rsidRDefault="002D5A04" w:rsidP="00A94661">
            <w:r>
              <w:rPr>
                <w:rStyle w:val="None"/>
              </w:rPr>
              <w:t>Contact details of applicant (phone and email)</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74987" w14:textId="77777777" w:rsidR="00043DA0" w:rsidRDefault="00043DA0" w:rsidP="00A94661"/>
        </w:tc>
      </w:tr>
      <w:tr w:rsidR="00A94661" w14:paraId="7894A397"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BA49DCF" w14:textId="77777777" w:rsidR="00043DA0" w:rsidRDefault="002D5A04" w:rsidP="00A94661">
            <w:r>
              <w:rPr>
                <w:rStyle w:val="None"/>
              </w:rPr>
              <w:t>Name and address of CEO or Managing Director of applicant business (for approval purposes)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6CF8A" w14:textId="77777777" w:rsidR="00043DA0" w:rsidRDefault="00043DA0" w:rsidP="00A94661"/>
        </w:tc>
      </w:tr>
      <w:tr w:rsidR="00A94661" w14:paraId="65245B82" w14:textId="77777777" w:rsidTr="00A94661">
        <w:trPr>
          <w:trHeight w:val="10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954DC7A" w14:textId="77777777" w:rsidR="00043DA0" w:rsidRDefault="002D5A04" w:rsidP="00A94661">
            <w:pPr>
              <w:rPr>
                <w:rStyle w:val="None"/>
              </w:rPr>
            </w:pPr>
            <w:r>
              <w:rPr>
                <w:rStyle w:val="None"/>
              </w:rPr>
              <w:t>Nature of the issue</w:t>
            </w:r>
          </w:p>
          <w:p w14:paraId="479B21A4" w14:textId="77777777" w:rsidR="00043DA0" w:rsidRDefault="002D5A04" w:rsidP="00A94661">
            <w:r>
              <w:rPr>
                <w:rStyle w:val="None"/>
              </w:rPr>
              <w:t xml:space="preserve">(e.g. unavailability of </w:t>
            </w:r>
            <w:proofErr w:type="gramStart"/>
            <w:r>
              <w:rPr>
                <w:rStyle w:val="None"/>
              </w:rPr>
              <w:t>particular ingredient</w:t>
            </w:r>
            <w:proofErr w:type="gramEnd"/>
            <w:r>
              <w:rPr>
                <w:rStyle w:val="None"/>
              </w:rPr>
              <w:t>; unable to access packaging)</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66B05" w14:textId="77777777" w:rsidR="00043DA0" w:rsidRDefault="00043DA0" w:rsidP="00A94661"/>
        </w:tc>
      </w:tr>
      <w:tr w:rsidR="00A94661" w14:paraId="763F2550" w14:textId="77777777" w:rsidTr="00A94661">
        <w:trPr>
          <w:trHeight w:val="1037"/>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ED76903" w14:textId="77777777" w:rsidR="00043DA0" w:rsidRDefault="002D5A04" w:rsidP="00A94661">
            <w:pPr>
              <w:rPr>
                <w:rStyle w:val="None"/>
              </w:rPr>
            </w:pPr>
            <w:r>
              <w:rPr>
                <w:rStyle w:val="None"/>
              </w:rPr>
              <w:t>What product/products are implicated?</w:t>
            </w:r>
          </w:p>
          <w:p w14:paraId="68E4694F" w14:textId="77777777" w:rsidR="00043DA0" w:rsidRPr="009A4875" w:rsidRDefault="002D5A04" w:rsidP="00A94661">
            <w:pPr>
              <w:rPr>
                <w:sz w:val="20"/>
                <w:szCs w:val="20"/>
              </w:rPr>
            </w:pPr>
            <w:r w:rsidRPr="009A4875">
              <w:rPr>
                <w:rStyle w:val="None"/>
                <w:sz w:val="20"/>
                <w:szCs w:val="20"/>
              </w:rPr>
              <w:t>Include brand, product type (e.g. breakfast cereal), batch code (if known)</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8F802" w14:textId="77777777" w:rsidR="00043DA0" w:rsidRDefault="00043DA0" w:rsidP="00A94661"/>
        </w:tc>
      </w:tr>
      <w:tr w:rsidR="00A94661" w14:paraId="0350807E" w14:textId="77777777" w:rsidTr="00A94661">
        <w:trPr>
          <w:trHeight w:val="126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F875DEE" w14:textId="77777777" w:rsidR="00043DA0" w:rsidRDefault="002D5A04" w:rsidP="00A94661">
            <w:pPr>
              <w:rPr>
                <w:rStyle w:val="None"/>
              </w:rPr>
            </w:pPr>
            <w:r>
              <w:rPr>
                <w:rStyle w:val="None"/>
              </w:rPr>
              <w:t>Are there any other products under different brands that need to be considered?</w:t>
            </w:r>
          </w:p>
          <w:p w14:paraId="372B54A5" w14:textId="125B0674" w:rsidR="00043DA0" w:rsidRPr="009A4875" w:rsidRDefault="002D5A04" w:rsidP="00A94661">
            <w:pPr>
              <w:rPr>
                <w:sz w:val="20"/>
                <w:szCs w:val="20"/>
              </w:rPr>
            </w:pPr>
            <w:r w:rsidRPr="009A4875">
              <w:rPr>
                <w:rStyle w:val="None"/>
                <w:sz w:val="20"/>
                <w:szCs w:val="20"/>
              </w:rPr>
              <w:t>Has the product been manufactured and sold under retail and proprietary brands?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B080C" w14:textId="77777777" w:rsidR="00043DA0" w:rsidRDefault="00043DA0" w:rsidP="00A94661"/>
        </w:tc>
      </w:tr>
      <w:tr w:rsidR="00A94661" w14:paraId="12539C7F"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25E03DE" w14:textId="77777777" w:rsidR="00043DA0" w:rsidRDefault="002D5A04" w:rsidP="00A94661">
            <w:r>
              <w:rPr>
                <w:rStyle w:val="None"/>
              </w:rPr>
              <w:t xml:space="preserve">In which states/territories </w:t>
            </w:r>
            <w:proofErr w:type="gramStart"/>
            <w:r>
              <w:rPr>
                <w:rStyle w:val="None"/>
              </w:rPr>
              <w:t>is</w:t>
            </w:r>
            <w:proofErr w:type="gramEnd"/>
            <w:r>
              <w:rPr>
                <w:rStyle w:val="None"/>
              </w:rPr>
              <w:t xml:space="preserve"> the product available? Is this also available in New Zealand?</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727EE" w14:textId="77777777" w:rsidR="00043DA0" w:rsidRDefault="00043DA0" w:rsidP="00A94661"/>
        </w:tc>
      </w:tr>
      <w:tr w:rsidR="00A94661" w14:paraId="6F682D35" w14:textId="77777777" w:rsidTr="00A94661">
        <w:trPr>
          <w:trHeight w:val="10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CA76F1B" w14:textId="77777777" w:rsidR="00043DA0" w:rsidRDefault="002D5A04" w:rsidP="00A94661">
            <w:r>
              <w:rPr>
                <w:rStyle w:val="None"/>
              </w:rPr>
              <w:t>Nature of discretion sought by the business (</w:t>
            </w:r>
            <w:proofErr w:type="gramStart"/>
            <w:r>
              <w:rPr>
                <w:rStyle w:val="None"/>
              </w:rPr>
              <w:t>include</w:t>
            </w:r>
            <w:proofErr w:type="gramEnd"/>
            <w:r>
              <w:rPr>
                <w:rStyle w:val="None"/>
              </w:rPr>
              <w:t xml:space="preserve"> the relevant standard or clause in the Food Standards Code (the Code))</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E36C7" w14:textId="77777777" w:rsidR="00043DA0" w:rsidRDefault="00043DA0" w:rsidP="00A94661"/>
        </w:tc>
      </w:tr>
      <w:tr w:rsidR="00A94661" w14:paraId="3FBB1F3A" w14:textId="77777777" w:rsidTr="00A94661">
        <w:trPr>
          <w:trHeight w:val="308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A9B3DF2" w14:textId="77777777" w:rsidR="00043DA0" w:rsidRDefault="002D5A04" w:rsidP="00A94661">
            <w:pPr>
              <w:rPr>
                <w:rStyle w:val="None"/>
              </w:rPr>
            </w:pPr>
            <w:r>
              <w:rPr>
                <w:rStyle w:val="None"/>
              </w:rPr>
              <w:t xml:space="preserve">Businesses should provide information to consumers about any changes to formulation or labelling issues. </w:t>
            </w:r>
          </w:p>
          <w:p w14:paraId="36164FFF" w14:textId="77777777" w:rsidR="00043DA0" w:rsidRDefault="002D5A04" w:rsidP="00A94661">
            <w:pPr>
              <w:rPr>
                <w:rStyle w:val="None"/>
              </w:rPr>
            </w:pPr>
            <w:r>
              <w:rPr>
                <w:rStyle w:val="None"/>
              </w:rPr>
              <w:t>Outline what communication is planned (e.g. social media, website, point of sale information)</w:t>
            </w:r>
          </w:p>
          <w:p w14:paraId="7244B80E" w14:textId="77777777" w:rsidR="00043DA0" w:rsidRDefault="002D5A04" w:rsidP="00A94661">
            <w:pPr>
              <w:rPr>
                <w:rStyle w:val="None"/>
              </w:rPr>
            </w:pPr>
            <w:r>
              <w:rPr>
                <w:rStyle w:val="None"/>
              </w:rPr>
              <w:t xml:space="preserve">Please provide: </w:t>
            </w:r>
          </w:p>
          <w:p w14:paraId="5155F628" w14:textId="2019A364" w:rsidR="00043DA0" w:rsidRDefault="002D5A04" w:rsidP="00A94661">
            <w:pPr>
              <w:pStyle w:val="ListBullet"/>
            </w:pPr>
            <w:r>
              <w:rPr>
                <w:rStyle w:val="None"/>
              </w:rPr>
              <w:t>a copy of the proposed communication and the method/s proposed</w:t>
            </w:r>
          </w:p>
          <w:p w14:paraId="69D14D25" w14:textId="77777777" w:rsidR="00043DA0" w:rsidRDefault="002D5A04" w:rsidP="00A94661">
            <w:pPr>
              <w:pStyle w:val="ListBullet"/>
            </w:pPr>
            <w:r>
              <w:rPr>
                <w:rStyle w:val="None"/>
              </w:rPr>
              <w:t>reasons why over stickering was not considered suitable</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984DF" w14:textId="77777777" w:rsidR="00043DA0" w:rsidRDefault="00043DA0" w:rsidP="00A94661"/>
        </w:tc>
      </w:tr>
      <w:tr w:rsidR="00A94661" w14:paraId="04FA8284" w14:textId="77777777" w:rsidTr="00A94661">
        <w:trPr>
          <w:trHeight w:val="152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8A9C11A" w14:textId="77777777" w:rsidR="00043DA0" w:rsidRDefault="002D5A04" w:rsidP="00A94661">
            <w:r>
              <w:rPr>
                <w:rStyle w:val="None"/>
              </w:rPr>
              <w:t>A standard timeframe for compliance arrangements is 6 months. Outline any reasoning why a flexible compliance arrangement should last beyond this time (if sought).</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AB6E" w14:textId="77777777" w:rsidR="00043DA0" w:rsidRDefault="00043DA0" w:rsidP="00A94661"/>
        </w:tc>
      </w:tr>
      <w:tr w:rsidR="00A94661" w14:paraId="3362D47E" w14:textId="77777777" w:rsidTr="00A94661">
        <w:trPr>
          <w:trHeight w:val="10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96DB6A1" w14:textId="77777777" w:rsidR="00043DA0" w:rsidRDefault="002D5A04" w:rsidP="00A94661">
            <w:r>
              <w:rPr>
                <w:rStyle w:val="None"/>
              </w:rPr>
              <w:t>What is the intended shelf life of the product, and is this indicated by Best Before or Use-By dates?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40C91" w14:textId="77777777" w:rsidR="00043DA0" w:rsidRDefault="00043DA0" w:rsidP="00A94661"/>
        </w:tc>
      </w:tr>
      <w:tr w:rsidR="00A94661" w14:paraId="3E51E26B"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17EB9FD" w14:textId="77777777" w:rsidR="00043DA0" w:rsidRDefault="002D5A04" w:rsidP="00A94661">
            <w:r>
              <w:rPr>
                <w:rStyle w:val="None"/>
              </w:rPr>
              <w:t>Does the request relate to a change of ingredients or packaging supply issues?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22569" w14:textId="77777777" w:rsidR="00043DA0" w:rsidRDefault="00043DA0" w:rsidP="00A94661"/>
        </w:tc>
      </w:tr>
      <w:tr w:rsidR="00A94661" w14:paraId="6B775B92"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6680254" w14:textId="77777777" w:rsidR="00043DA0" w:rsidRDefault="002D5A04" w:rsidP="00A94661">
            <w:r>
              <w:rPr>
                <w:rStyle w:val="None"/>
              </w:rPr>
              <w:t>Does the request relate to a food or ingredient which is imported?</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E3A17" w14:textId="77777777" w:rsidR="00043DA0" w:rsidRDefault="00043DA0" w:rsidP="00A94661"/>
        </w:tc>
      </w:tr>
      <w:tr w:rsidR="00A94661" w14:paraId="38E30B5A" w14:textId="77777777" w:rsidTr="00A94661">
        <w:trPr>
          <w:trHeight w:val="126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D00DA5C" w14:textId="77777777" w:rsidR="00043DA0" w:rsidRDefault="002D5A04" w:rsidP="00A94661">
            <w:r>
              <w:rPr>
                <w:rStyle w:val="None"/>
              </w:rPr>
              <w:t>If the request relates to a change of ingredients, outline the assessment undertaken by the business to determine any safety issues or cross contamination from undeclared allergens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5F20A" w14:textId="77777777" w:rsidR="00043DA0" w:rsidRDefault="00043DA0" w:rsidP="00A94661"/>
        </w:tc>
      </w:tr>
      <w:tr w:rsidR="00A94661" w14:paraId="21C86D18" w14:textId="77777777" w:rsidTr="00A94661">
        <w:trPr>
          <w:trHeight w:val="126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9374B7E" w14:textId="77777777" w:rsidR="00043DA0" w:rsidRDefault="002D5A04" w:rsidP="00A94661">
            <w:r>
              <w:rPr>
                <w:rStyle w:val="None"/>
              </w:rPr>
              <w:t>Will the change of supply/product significantly affect characteristics such as water activity or pH and introduce pathogens or allow microbial growth?</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80BC5" w14:textId="77777777" w:rsidR="00043DA0" w:rsidRDefault="00043DA0" w:rsidP="00A94661"/>
        </w:tc>
      </w:tr>
      <w:tr w:rsidR="00A94661" w14:paraId="3EFDBB60" w14:textId="77777777" w:rsidTr="00A94661">
        <w:trPr>
          <w:trHeight w:val="74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10DF41C" w14:textId="77777777" w:rsidR="00043DA0" w:rsidRDefault="002D5A04" w:rsidP="00A94661">
            <w:r>
              <w:rPr>
                <w:rStyle w:val="None"/>
              </w:rPr>
              <w:t>Will the proposed change result in any unacceptable chemical hazards?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A871A" w14:textId="77777777" w:rsidR="00043DA0" w:rsidRDefault="00043DA0" w:rsidP="00A94661"/>
        </w:tc>
      </w:tr>
      <w:tr w:rsidR="00A94661" w14:paraId="6D03DEAC" w14:textId="77777777" w:rsidTr="00A94661">
        <w:trPr>
          <w:trHeight w:val="10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70A1DEE" w14:textId="77777777" w:rsidR="00043DA0" w:rsidRDefault="002D5A04" w:rsidP="00A94661">
            <w:r>
              <w:rPr>
                <w:rStyle w:val="None"/>
              </w:rPr>
              <w:t>Can the business provide any further information on its systems/processes to ensure ongoing food safety?</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AF4F3" w14:textId="77777777" w:rsidR="00043DA0" w:rsidRDefault="00043DA0" w:rsidP="00A94661"/>
        </w:tc>
      </w:tr>
      <w:tr w:rsidR="00A94661" w14:paraId="1DC2BAA4" w14:textId="77777777" w:rsidTr="00A94661">
        <w:trPr>
          <w:trHeight w:val="10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88268DD" w14:textId="77777777" w:rsidR="00043DA0" w:rsidRDefault="002D5A04" w:rsidP="00A94661">
            <w:r>
              <w:rPr>
                <w:rStyle w:val="None"/>
              </w:rPr>
              <w:t>Can the business confirm that the proposed change has no impact on any claims or Health Star Rating of the product(s)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DD434" w14:textId="77777777" w:rsidR="00043DA0" w:rsidRDefault="00043DA0" w:rsidP="00A94661"/>
        </w:tc>
      </w:tr>
      <w:tr w:rsidR="00A94661" w14:paraId="63DE551C" w14:textId="77777777" w:rsidTr="00A94661">
        <w:trPr>
          <w:trHeight w:val="2301"/>
        </w:trPr>
        <w:tc>
          <w:tcPr>
            <w:tcW w:w="502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27EE0B2" w14:textId="77777777" w:rsidR="00043DA0" w:rsidRPr="00A94661" w:rsidRDefault="002D5A04" w:rsidP="00A94661">
            <w:pPr>
              <w:rPr>
                <w:rStyle w:val="Strong"/>
              </w:rPr>
            </w:pPr>
            <w:r w:rsidRPr="00A94661">
              <w:rPr>
                <w:rStyle w:val="Strong"/>
              </w:rPr>
              <w:t>Business declaration:</w:t>
            </w:r>
          </w:p>
          <w:p w14:paraId="692C7FB6" w14:textId="4A72B678" w:rsidR="00043DA0" w:rsidRDefault="002D5A04" w:rsidP="00A94661">
            <w:pPr>
              <w:rPr>
                <w:rStyle w:val="None"/>
              </w:rPr>
            </w:pPr>
            <w:r>
              <w:rPr>
                <w:rStyle w:val="None"/>
              </w:rPr>
              <w:t>The information in this pro forma is true and correct at the date indicated.</w:t>
            </w:r>
          </w:p>
          <w:p w14:paraId="6B2C5D8E" w14:textId="77777777" w:rsidR="00043DA0" w:rsidRDefault="002D5A04" w:rsidP="00A94661">
            <w:proofErr w:type="gramStart"/>
            <w:r>
              <w:rPr>
                <w:rStyle w:val="None"/>
              </w:rPr>
              <w:t>With the exception of</w:t>
            </w:r>
            <w:proofErr w:type="gramEnd"/>
            <w:r>
              <w:rPr>
                <w:rStyle w:val="None"/>
              </w:rPr>
              <w:t xml:space="preserve"> </w:t>
            </w:r>
            <w:proofErr w:type="gramStart"/>
            <w:r>
              <w:rPr>
                <w:rStyle w:val="None"/>
              </w:rPr>
              <w:t>the non</w:t>
            </w:r>
            <w:proofErr w:type="gramEnd"/>
            <w:r>
              <w:rPr>
                <w:rStyle w:val="None"/>
              </w:rPr>
              <w:t>-compliance under consideration, all other aspects of the product in question comply with the Code and Food Acts.</w:t>
            </w:r>
          </w:p>
        </w:tc>
        <w:tc>
          <w:tcPr>
            <w:tcW w:w="3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F0A3D" w14:textId="00D36824" w:rsidR="00043DA0" w:rsidRDefault="002D5A04">
            <w:pPr>
              <w:pStyle w:val="BodyA"/>
              <w:spacing w:after="0" w:line="240" w:lineRule="auto"/>
              <w:rPr>
                <w:rStyle w:val="None"/>
                <w:b/>
                <w:bCs/>
              </w:rPr>
            </w:pPr>
            <w:r>
              <w:rPr>
                <w:rStyle w:val="None"/>
                <w:b/>
                <w:bCs/>
              </w:rPr>
              <w:t>Signature</w:t>
            </w:r>
            <w:r w:rsidR="00A94661">
              <w:rPr>
                <w:rStyle w:val="None"/>
                <w:b/>
                <w:bCs/>
              </w:rPr>
              <w:t xml:space="preserve"> </w:t>
            </w:r>
            <w:r w:rsidR="00A94661">
              <w:rPr>
                <w:rStyle w:val="None"/>
                <w:b/>
                <w:bCs/>
              </w:rPr>
              <w:fldChar w:fldCharType="begin">
                <w:ffData>
                  <w:name w:val="Text1"/>
                  <w:enabled/>
                  <w:calcOnExit w:val="0"/>
                  <w:textInput/>
                </w:ffData>
              </w:fldChar>
            </w:r>
            <w:bookmarkStart w:id="0" w:name="Text1"/>
            <w:r w:rsidR="00A94661">
              <w:rPr>
                <w:rStyle w:val="None"/>
                <w:b/>
                <w:bCs/>
              </w:rPr>
              <w:instrText xml:space="preserve"> FORMTEXT </w:instrText>
            </w:r>
            <w:r w:rsidR="00A94661">
              <w:rPr>
                <w:rStyle w:val="None"/>
                <w:b/>
                <w:bCs/>
              </w:rPr>
            </w:r>
            <w:r w:rsidR="00A94661">
              <w:rPr>
                <w:rStyle w:val="None"/>
                <w:b/>
                <w:bCs/>
              </w:rPr>
              <w:fldChar w:fldCharType="separate"/>
            </w:r>
            <w:r w:rsidR="00A94661">
              <w:rPr>
                <w:rStyle w:val="None"/>
                <w:b/>
                <w:bCs/>
                <w:noProof/>
              </w:rPr>
              <w:t> </w:t>
            </w:r>
            <w:r w:rsidR="00A94661">
              <w:rPr>
                <w:rStyle w:val="None"/>
                <w:b/>
                <w:bCs/>
                <w:noProof/>
              </w:rPr>
              <w:t> </w:t>
            </w:r>
            <w:r w:rsidR="00A94661">
              <w:rPr>
                <w:rStyle w:val="None"/>
                <w:b/>
                <w:bCs/>
                <w:noProof/>
              </w:rPr>
              <w:t> </w:t>
            </w:r>
            <w:r w:rsidR="00A94661">
              <w:rPr>
                <w:rStyle w:val="None"/>
                <w:b/>
                <w:bCs/>
                <w:noProof/>
              </w:rPr>
              <w:t> </w:t>
            </w:r>
            <w:r w:rsidR="00A94661">
              <w:rPr>
                <w:rStyle w:val="None"/>
                <w:b/>
                <w:bCs/>
                <w:noProof/>
              </w:rPr>
              <w:t> </w:t>
            </w:r>
            <w:r w:rsidR="00A94661">
              <w:rPr>
                <w:rStyle w:val="None"/>
                <w:b/>
                <w:bCs/>
              </w:rPr>
              <w:fldChar w:fldCharType="end"/>
            </w:r>
            <w:bookmarkEnd w:id="0"/>
          </w:p>
          <w:p w14:paraId="533CF05F" w14:textId="0F6DBE96" w:rsidR="00043DA0" w:rsidRDefault="002D5A04">
            <w:pPr>
              <w:pStyle w:val="BodyA"/>
              <w:spacing w:after="0" w:line="240" w:lineRule="auto"/>
            </w:pPr>
            <w:r>
              <w:rPr>
                <w:rStyle w:val="None"/>
                <w:b/>
                <w:bCs/>
              </w:rPr>
              <w:t>Date</w:t>
            </w:r>
            <w:r w:rsidR="00A94661">
              <w:rPr>
                <w:rStyle w:val="None"/>
                <w:b/>
                <w:bCs/>
              </w:rPr>
              <w:t xml:space="preserve"> </w:t>
            </w:r>
            <w:sdt>
              <w:sdtPr>
                <w:rPr>
                  <w:rStyle w:val="None"/>
                  <w:b/>
                  <w:bCs/>
                </w:rPr>
                <w:id w:val="-214433849"/>
                <w:placeholder>
                  <w:docPart w:val="DefaultPlaceholder_-1854013437"/>
                </w:placeholder>
                <w:showingPlcHdr/>
                <w:date>
                  <w:dateFormat w:val="d/MM/yyyy"/>
                  <w:lid w:val="en-AU"/>
                  <w:storeMappedDataAs w:val="dateTime"/>
                  <w:calendar w:val="gregorian"/>
                </w:date>
              </w:sdtPr>
              <w:sdtEndPr>
                <w:rPr>
                  <w:rStyle w:val="DefaultParagraphFont"/>
                  <w:b w:val="0"/>
                  <w:bCs w:val="0"/>
                </w:rPr>
              </w:sdtEndPr>
              <w:sdtContent>
                <w:r w:rsidR="00A94661" w:rsidRPr="00A94661">
                  <w:t>Click or tap to enter a date.</w:t>
                </w:r>
              </w:sdtContent>
            </w:sdt>
          </w:p>
        </w:tc>
      </w:tr>
    </w:tbl>
    <w:p w14:paraId="637402E3" w14:textId="77777777" w:rsidR="00043DA0" w:rsidRPr="00A94661" w:rsidRDefault="00043DA0" w:rsidP="00A94661"/>
    <w:sectPr w:rsidR="00043DA0" w:rsidRPr="00A94661" w:rsidSect="00A94661">
      <w:headerReference w:type="even" r:id="rId15"/>
      <w:headerReference w:type="default" r:id="rId16"/>
      <w:footerReference w:type="even" r:id="rId17"/>
      <w:footerReference w:type="default" r:id="rId18"/>
      <w:headerReference w:type="first" r:id="rId19"/>
      <w:footerReference w:type="first" r:id="rId20"/>
      <w:pgSz w:w="11900" w:h="16840"/>
      <w:pgMar w:top="1702" w:right="1440" w:bottom="1134" w:left="1440"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5F2B" w14:textId="77777777" w:rsidR="00EF297E" w:rsidRDefault="00EF297E" w:rsidP="00A94661">
      <w:r>
        <w:separator/>
      </w:r>
    </w:p>
  </w:endnote>
  <w:endnote w:type="continuationSeparator" w:id="0">
    <w:p w14:paraId="1ECAC56A" w14:textId="77777777" w:rsidR="00EF297E" w:rsidRDefault="00EF297E" w:rsidP="00A9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BF0E" w14:textId="4F15539D" w:rsidR="00B96619" w:rsidRDefault="00B96619">
    <w:pPr>
      <w:pStyle w:val="Footer"/>
    </w:pPr>
    <w:r>
      <w:rPr>
        <w:noProof/>
      </w:rPr>
      <mc:AlternateContent>
        <mc:Choice Requires="wps">
          <w:drawing>
            <wp:anchor distT="0" distB="0" distL="0" distR="0" simplePos="0" relativeHeight="251662336" behindDoc="0" locked="0" layoutInCell="1" allowOverlap="1" wp14:anchorId="003585C8" wp14:editId="11B87AA6">
              <wp:simplePos x="635" y="635"/>
              <wp:positionH relativeFrom="page">
                <wp:align>center</wp:align>
              </wp:positionH>
              <wp:positionV relativeFrom="page">
                <wp:align>bottom</wp:align>
              </wp:positionV>
              <wp:extent cx="622300" cy="376555"/>
              <wp:effectExtent l="0" t="0" r="6350" b="0"/>
              <wp:wrapNone/>
              <wp:docPr id="16165669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a:effectLst/>
                      <a:sp3d/>
                    </wps:spPr>
                    <wps:txbx>
                      <w:txbxContent>
                        <w:p w14:paraId="4AA72BAF" w14:textId="0A43B56A" w:rsidR="00B96619" w:rsidRPr="00B96619" w:rsidRDefault="00B96619" w:rsidP="00A94661">
                          <w:pPr>
                            <w:rPr>
                              <w:noProof/>
                            </w:rPr>
                          </w:pPr>
                          <w:r w:rsidRPr="00B96619">
                            <w:rPr>
                              <w:noProof/>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003585C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" filled="f" stroked="f">
              <v:textbox style="mso-fit-shape-to-text:t" inset="0,0,0,15pt">
                <w:txbxContent>
                  <w:p w14:paraId="4AA72BAF" w14:textId="0A43B56A" w:rsidR="00B96619" w:rsidRPr="00B96619" w:rsidRDefault="00B96619" w:rsidP="00A94661">
                    <w:pPr>
                      <w:rPr>
                        <w:noProof/>
                      </w:rPr>
                    </w:pPr>
                    <w:r w:rsidRPr="00B9661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AC1C" w14:textId="20E4343D" w:rsidR="00043DA0" w:rsidRDefault="00043DA0">
    <w:pPr>
      <w:pStyle w:val="Header"/>
      <w:tabs>
        <w:tab w:val="clear" w:pos="9026"/>
        <w:tab w:val="right" w:pos="9000"/>
      </w:tabs>
      <w:spacing w:after="1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25F0" w14:textId="08F045C0" w:rsidR="00043DA0" w:rsidRDefault="00043DA0">
    <w:pPr>
      <w:pStyle w:val="Footer"/>
      <w:tabs>
        <w:tab w:val="clear" w:pos="9026"/>
        <w:tab w:val="right" w:pos="90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66D0" w14:textId="77777777" w:rsidR="00EF297E" w:rsidRDefault="00EF297E" w:rsidP="00A94661">
      <w:r>
        <w:separator/>
      </w:r>
    </w:p>
  </w:footnote>
  <w:footnote w:type="continuationSeparator" w:id="0">
    <w:p w14:paraId="1BDD9312" w14:textId="77777777" w:rsidR="00EF297E" w:rsidRDefault="00EF297E" w:rsidP="00A94661">
      <w:r>
        <w:continuationSeparator/>
      </w:r>
    </w:p>
  </w:footnote>
  <w:footnote w:type="continuationNotice" w:id="1">
    <w:p w14:paraId="5F14A3EC" w14:textId="77777777" w:rsidR="00EF297E" w:rsidRDefault="00EF297E" w:rsidP="00A94661"/>
  </w:footnote>
  <w:footnote w:id="2">
    <w:p w14:paraId="15F2F11D" w14:textId="6F22459A" w:rsidR="00043DA0" w:rsidRDefault="002D5A04">
      <w:pPr>
        <w:pStyle w:val="FootnoteText"/>
      </w:pPr>
      <w:r>
        <w:rPr>
          <w:rFonts w:ascii="Calibri" w:eastAsia="Calibri" w:hAnsi="Calibri" w:cs="Calibri"/>
          <w:sz w:val="22"/>
          <w:szCs w:val="22"/>
          <w:vertAlign w:val="superscript"/>
        </w:rPr>
        <w:footnoteRef/>
      </w:r>
      <w:r>
        <w:rPr>
          <w:rFonts w:ascii="Calibri" w:hAnsi="Calibri"/>
        </w:rPr>
        <w:t xml:space="preserve"> </w:t>
      </w:r>
      <w:r>
        <w:rPr>
          <w:rFonts w:ascii="Calibri" w:hAnsi="Calibri"/>
          <w:b/>
          <w:bCs/>
          <w:color w:val="222222"/>
          <w:u w:color="222222"/>
          <w:shd w:val="clear" w:color="auto" w:fill="FFFFFF"/>
        </w:rPr>
        <w:t>Home Jurisdiction Rule</w:t>
      </w:r>
      <w:r>
        <w:rPr>
          <w:rFonts w:ascii="Calibri" w:hAnsi="Calibri"/>
          <w:color w:val="222222"/>
          <w:u w:color="222222"/>
          <w:shd w:val="clear" w:color="auto" w:fill="FFFFFF"/>
        </w:rPr>
        <w:t xml:space="preserve">: The home jurisdiction is the state or territory in which a food business is based or, in the case of a national chain, where the home company’s head office is located. </w:t>
      </w:r>
      <w:hyperlink r:id="rId1" w:history="1">
        <w:r w:rsidR="00FB26E0" w:rsidRPr="00FB26E0">
          <w:rPr>
            <w:rStyle w:val="Hyperlink"/>
            <w:rFonts w:ascii="Calibri" w:hAnsi="Calibri" w:cs="Calibri"/>
          </w:rPr>
          <w:t>https://www.foodregulation.gov.au/resources/publications/home-jurisdiction-rule</w:t>
        </w:r>
      </w:hyperlink>
      <w:r w:rsidR="00FB26E0" w:rsidRPr="00FB26E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56F9" w14:textId="4D389137" w:rsidR="00B96619" w:rsidRDefault="00B96619">
    <w:pPr>
      <w:pStyle w:val="Header"/>
    </w:pPr>
    <w:r>
      <w:rPr>
        <w:noProof/>
      </w:rPr>
      <mc:AlternateContent>
        <mc:Choice Requires="wps">
          <w:drawing>
            <wp:anchor distT="0" distB="0" distL="0" distR="0" simplePos="0" relativeHeight="251659264" behindDoc="0" locked="0" layoutInCell="1" allowOverlap="1" wp14:anchorId="0E27DAB4" wp14:editId="158DDE49">
              <wp:simplePos x="635" y="635"/>
              <wp:positionH relativeFrom="page">
                <wp:align>center</wp:align>
              </wp:positionH>
              <wp:positionV relativeFrom="page">
                <wp:align>top</wp:align>
              </wp:positionV>
              <wp:extent cx="622300" cy="376555"/>
              <wp:effectExtent l="0" t="0" r="6350" b="4445"/>
              <wp:wrapNone/>
              <wp:docPr id="1091785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a:effectLst/>
                      <a:sp3d/>
                    </wps:spPr>
                    <wps:txbx>
                      <w:txbxContent>
                        <w:p w14:paraId="02D99EEA" w14:textId="71B223E3" w:rsidR="00B96619" w:rsidRPr="00B96619" w:rsidRDefault="00B96619" w:rsidP="00A94661">
                          <w:pPr>
                            <w:rPr>
                              <w:noProof/>
                            </w:rPr>
                          </w:pPr>
                          <w:r w:rsidRPr="00B96619">
                            <w:rPr>
                              <w:noProof/>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E27DAB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" filled="f" stroked="f">
              <v:textbox style="mso-fit-shape-to-text:t" inset="0,15pt,0,0">
                <w:txbxContent>
                  <w:p w14:paraId="02D99EEA" w14:textId="71B223E3" w:rsidR="00B96619" w:rsidRPr="00B96619" w:rsidRDefault="00B96619" w:rsidP="00A94661">
                    <w:pPr>
                      <w:rPr>
                        <w:noProof/>
                      </w:rPr>
                    </w:pPr>
                    <w:r w:rsidRPr="00B9661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F39" w14:textId="2FFD1B59" w:rsidR="00043DA0" w:rsidRDefault="00043DA0">
    <w:pPr>
      <w:pStyle w:val="Header"/>
      <w:tabs>
        <w:tab w:val="clear" w:pos="4513"/>
        <w:tab w:val="clear" w:pos="9026"/>
        <w:tab w:val="left" w:pos="28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C65" w14:textId="179EB59C" w:rsidR="00043DA0" w:rsidRDefault="00043DA0">
    <w:pPr>
      <w:pStyle w:val="Header"/>
      <w:tabs>
        <w:tab w:val="clear" w:pos="9026"/>
        <w:tab w:val="right" w:pos="9000"/>
      </w:tabs>
      <w:rPr>
        <w:sz w:val="24"/>
        <w:szCs w:val="24"/>
      </w:rPr>
    </w:pPr>
  </w:p>
  <w:p w14:paraId="6EA5B617" w14:textId="77777777" w:rsidR="00043DA0" w:rsidRDefault="002D5A04">
    <w:pPr>
      <w:pStyle w:val="Header"/>
      <w:tabs>
        <w:tab w:val="clear" w:pos="9026"/>
        <w:tab w:val="right" w:pos="9000"/>
      </w:tabs>
      <w:jc w:val="center"/>
    </w:pPr>
    <w:r>
      <w:rPr>
        <w:noProof/>
      </w:rPr>
      <w:drawing>
        <wp:inline distT="0" distB="0" distL="0" distR="0" wp14:anchorId="22619E22" wp14:editId="5040B5F1">
          <wp:extent cx="1771429" cy="571429"/>
          <wp:effectExtent l="0" t="0" r="0" b="0"/>
          <wp:docPr id="1945308490" name="officeArt object" descr="A logo containing the words food regulation and a picture of Australia and New Zealand in green."/>
          <wp:cNvGraphicFramePr/>
          <a:graphic xmlns:a="http://schemas.openxmlformats.org/drawingml/2006/main">
            <a:graphicData uri="http://schemas.openxmlformats.org/drawingml/2006/picture">
              <pic:pic xmlns:pic="http://schemas.openxmlformats.org/drawingml/2006/picture">
                <pic:nvPicPr>
                  <pic:cNvPr id="1073741826" name="officeArt object" descr="A logo containing the words food regulation and a picture of Australia and New Zealand in green."/>
                  <pic:cNvPicPr>
                    <a:picLocks noChangeAspect="1"/>
                  </pic:cNvPicPr>
                </pic:nvPicPr>
                <pic:blipFill>
                  <a:blip r:embed="rId1"/>
                  <a:stretch>
                    <a:fillRect/>
                  </a:stretch>
                </pic:blipFill>
                <pic:spPr>
                  <a:xfrm>
                    <a:off x="0" y="0"/>
                    <a:ext cx="1771429" cy="5714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0347F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A140AD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6518DBD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04261E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2B43C2"/>
    <w:multiLevelType w:val="hybridMultilevel"/>
    <w:tmpl w:val="76867D5C"/>
    <w:lvl w:ilvl="0" w:tplc="BA221C0A">
      <w:start w:val="1"/>
      <w:numFmt w:val="bullet"/>
      <w:lvlText w:val="·"/>
      <w:lvlJc w:val="left"/>
      <w:pPr>
        <w:ind w:left="688" w:hanging="328"/>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F6DAA696">
      <w:start w:val="1"/>
      <w:numFmt w:val="bullet"/>
      <w:lvlText w:val="o"/>
      <w:lvlJc w:val="left"/>
      <w:pPr>
        <w:ind w:left="1408" w:hanging="3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6BD41EF0">
      <w:start w:val="1"/>
      <w:numFmt w:val="bullet"/>
      <w:lvlText w:val="-"/>
      <w:lvlJc w:val="left"/>
      <w:pPr>
        <w:ind w:left="48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27EA022">
      <w:start w:val="1"/>
      <w:numFmt w:val="bullet"/>
      <w:lvlText w:val="•"/>
      <w:lvlJc w:val="left"/>
      <w:pPr>
        <w:ind w:left="120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E43A3F22">
      <w:start w:val="1"/>
      <w:numFmt w:val="bullet"/>
      <w:lvlText w:val="o"/>
      <w:lvlJc w:val="left"/>
      <w:pPr>
        <w:ind w:left="197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C22BAE4">
      <w:start w:val="1"/>
      <w:numFmt w:val="bullet"/>
      <w:lvlText w:val="▪"/>
      <w:lvlJc w:val="left"/>
      <w:pPr>
        <w:ind w:left="269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B8C77CA">
      <w:start w:val="1"/>
      <w:numFmt w:val="bullet"/>
      <w:lvlText w:val="•"/>
      <w:lvlJc w:val="left"/>
      <w:pPr>
        <w:ind w:left="336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20C48B2A">
      <w:start w:val="1"/>
      <w:numFmt w:val="bullet"/>
      <w:lvlText w:val="o"/>
      <w:lvlJc w:val="left"/>
      <w:pPr>
        <w:ind w:left="413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9363DD2">
      <w:start w:val="1"/>
      <w:numFmt w:val="bullet"/>
      <w:lvlText w:val="▪"/>
      <w:lvlJc w:val="left"/>
      <w:pPr>
        <w:ind w:left="485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13137FC7"/>
    <w:multiLevelType w:val="hybridMultilevel"/>
    <w:tmpl w:val="2508238A"/>
    <w:lvl w:ilvl="0" w:tplc="8392106A">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DD7348"/>
    <w:multiLevelType w:val="hybridMultilevel"/>
    <w:tmpl w:val="D1FC3B46"/>
    <w:lvl w:ilvl="0" w:tplc="0C090019">
      <w:start w:val="1"/>
      <w:numFmt w:val="lowerLetter"/>
      <w:lvlText w:val="%1."/>
      <w:lvlJc w:val="left"/>
      <w:pPr>
        <w:ind w:left="77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D9168C"/>
    <w:multiLevelType w:val="hybridMultilevel"/>
    <w:tmpl w:val="6FE89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062E1"/>
    <w:multiLevelType w:val="hybridMultilevel"/>
    <w:tmpl w:val="2510257A"/>
    <w:lvl w:ilvl="0" w:tplc="9AB24D90">
      <w:numFmt w:val="bullet"/>
      <w:lvlText w:val="-"/>
      <w:lvlJc w:val="left"/>
      <w:pPr>
        <w:ind w:left="770" w:hanging="360"/>
      </w:pPr>
      <w:rPr>
        <w:rFonts w:ascii="Calibri" w:eastAsia="Arial Unicode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3A22E9"/>
    <w:multiLevelType w:val="hybridMultilevel"/>
    <w:tmpl w:val="12D4B52A"/>
    <w:lvl w:ilvl="0" w:tplc="9AB24D90">
      <w:numFmt w:val="bullet"/>
      <w:lvlText w:val="-"/>
      <w:lvlJc w:val="left"/>
      <w:pPr>
        <w:ind w:left="720" w:hanging="360"/>
      </w:pPr>
      <w:rPr>
        <w:rFonts w:ascii="Calibri" w:eastAsia="Arial Unicode MS"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213A5F"/>
    <w:multiLevelType w:val="hybridMultilevel"/>
    <w:tmpl w:val="341ECE72"/>
    <w:lvl w:ilvl="0" w:tplc="8586EE90">
      <w:start w:val="1"/>
      <w:numFmt w:val="bullet"/>
      <w:lvlText w:val="·"/>
      <w:lvlJc w:val="left"/>
      <w:pPr>
        <w:ind w:left="688" w:hanging="328"/>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995E2B50">
      <w:start w:val="1"/>
      <w:numFmt w:val="bullet"/>
      <w:lvlText w:val="o"/>
      <w:lvlJc w:val="left"/>
      <w:pPr>
        <w:ind w:left="1408" w:hanging="3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F00ECC44">
      <w:start w:val="1"/>
      <w:numFmt w:val="bullet"/>
      <w:lvlText w:val="-"/>
      <w:lvlJc w:val="left"/>
      <w:pPr>
        <w:ind w:left="48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A0A4744">
      <w:start w:val="1"/>
      <w:numFmt w:val="bullet"/>
      <w:lvlText w:val="•"/>
      <w:lvlJc w:val="left"/>
      <w:pPr>
        <w:ind w:left="120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1A068AA">
      <w:start w:val="1"/>
      <w:numFmt w:val="bullet"/>
      <w:lvlText w:val="o"/>
      <w:lvlJc w:val="left"/>
      <w:pPr>
        <w:ind w:left="197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CAC1220">
      <w:start w:val="1"/>
      <w:numFmt w:val="bullet"/>
      <w:lvlText w:val="▪"/>
      <w:lvlJc w:val="left"/>
      <w:pPr>
        <w:ind w:left="269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9A8E39A">
      <w:start w:val="1"/>
      <w:numFmt w:val="bullet"/>
      <w:lvlText w:val="•"/>
      <w:lvlJc w:val="left"/>
      <w:pPr>
        <w:ind w:left="336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A424B96">
      <w:start w:val="1"/>
      <w:numFmt w:val="bullet"/>
      <w:lvlText w:val="o"/>
      <w:lvlJc w:val="left"/>
      <w:pPr>
        <w:ind w:left="413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6141280">
      <w:start w:val="1"/>
      <w:numFmt w:val="bullet"/>
      <w:lvlText w:val="▪"/>
      <w:lvlJc w:val="left"/>
      <w:pPr>
        <w:ind w:left="4858"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1" w15:restartNumberingAfterBreak="0">
    <w:nsid w:val="404A1950"/>
    <w:multiLevelType w:val="hybridMultilevel"/>
    <w:tmpl w:val="710C6322"/>
    <w:lvl w:ilvl="0" w:tplc="0C09000F">
      <w:start w:val="1"/>
      <w:numFmt w:val="decimal"/>
      <w:lvlText w:val="%1."/>
      <w:lvlJc w:val="left"/>
      <w:pPr>
        <w:ind w:left="77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9120440"/>
    <w:multiLevelType w:val="hybridMultilevel"/>
    <w:tmpl w:val="FE50CB7E"/>
    <w:lvl w:ilvl="0" w:tplc="9AB24D90">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455767"/>
    <w:multiLevelType w:val="hybridMultilevel"/>
    <w:tmpl w:val="9528C640"/>
    <w:lvl w:ilvl="0" w:tplc="9AB24D90">
      <w:numFmt w:val="bullet"/>
      <w:lvlText w:val="-"/>
      <w:lvlJc w:val="left"/>
      <w:pPr>
        <w:ind w:left="720" w:hanging="360"/>
      </w:pPr>
      <w:rPr>
        <w:rFonts w:ascii="Calibri" w:eastAsia="Arial Unicode MS"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466652"/>
    <w:multiLevelType w:val="hybridMultilevel"/>
    <w:tmpl w:val="E9340412"/>
    <w:numStyleLink w:val="ImportedStyle1"/>
  </w:abstractNum>
  <w:abstractNum w:abstractNumId="15" w15:restartNumberingAfterBreak="0">
    <w:nsid w:val="6AC00F74"/>
    <w:multiLevelType w:val="hybridMultilevel"/>
    <w:tmpl w:val="F4748D78"/>
    <w:lvl w:ilvl="0" w:tplc="0C090001">
      <w:start w:val="1"/>
      <w:numFmt w:val="bullet"/>
      <w:lvlText w:val=""/>
      <w:lvlJc w:val="left"/>
      <w:pPr>
        <w:ind w:left="77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F1368BA"/>
    <w:multiLevelType w:val="hybridMultilevel"/>
    <w:tmpl w:val="0032B592"/>
    <w:lvl w:ilvl="0" w:tplc="1AD2467C">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5E6ED0">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1E0A18">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40E628">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C256B4">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10A59A">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C671CE">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24E714">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608A6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96747D2"/>
    <w:multiLevelType w:val="hybridMultilevel"/>
    <w:tmpl w:val="E9340412"/>
    <w:styleLink w:val="ImportedStyle1"/>
    <w:lvl w:ilvl="0" w:tplc="606A2FB0">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B9C4252A">
      <w:start w:val="1"/>
      <w:numFmt w:val="bullet"/>
      <w:lvlText w:val="o"/>
      <w:lvlJc w:val="left"/>
      <w:pPr>
        <w:ind w:left="11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45D2DED2">
      <w:start w:val="1"/>
      <w:numFmt w:val="bullet"/>
      <w:pStyle w:val="ListBullet4"/>
      <w:lvlText w:val="-"/>
      <w:lvlJc w:val="left"/>
      <w:pPr>
        <w:ind w:left="170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88C2C32">
      <w:start w:val="1"/>
      <w:numFmt w:val="bullet"/>
      <w:lvlText w:val="•"/>
      <w:lvlJc w:val="left"/>
      <w:pPr>
        <w:ind w:left="242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908718">
      <w:start w:val="1"/>
      <w:numFmt w:val="bullet"/>
      <w:lvlText w:val="o"/>
      <w:lvlJc w:val="left"/>
      <w:pPr>
        <w:ind w:left="314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C000A7A">
      <w:start w:val="1"/>
      <w:numFmt w:val="bullet"/>
      <w:lvlText w:val="▪"/>
      <w:lvlJc w:val="left"/>
      <w:pPr>
        <w:ind w:left="386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AF4A02A">
      <w:start w:val="1"/>
      <w:numFmt w:val="bullet"/>
      <w:lvlText w:val="•"/>
      <w:lvlJc w:val="left"/>
      <w:pPr>
        <w:ind w:left="458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CF4E6CC">
      <w:start w:val="1"/>
      <w:numFmt w:val="bullet"/>
      <w:lvlText w:val="o"/>
      <w:lvlJc w:val="left"/>
      <w:pPr>
        <w:ind w:left="530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9B03FEE">
      <w:start w:val="1"/>
      <w:numFmt w:val="bullet"/>
      <w:lvlText w:val="▪"/>
      <w:lvlJc w:val="left"/>
      <w:pPr>
        <w:ind w:left="6021"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93680806">
    <w:abstractNumId w:val="17"/>
  </w:num>
  <w:num w:numId="2" w16cid:durableId="105931760">
    <w:abstractNumId w:val="14"/>
  </w:num>
  <w:num w:numId="3" w16cid:durableId="833303674">
    <w:abstractNumId w:val="14"/>
    <w:lvlOverride w:ilvl="0">
      <w:lvl w:ilvl="0" w:tplc="2794C1C2">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B2480A72">
        <w:start w:val="1"/>
        <w:numFmt w:val="bullet"/>
        <w:lvlText w:val="o"/>
        <w:lvlJc w:val="left"/>
        <w:pPr>
          <w:ind w:left="11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9EA4922A">
        <w:start w:val="1"/>
        <w:numFmt w:val="bullet"/>
        <w:pStyle w:val="ListBullet4"/>
        <w:lvlText w:val="-"/>
        <w:lvlJc w:val="left"/>
        <w:pPr>
          <w:ind w:left="185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D04932C">
        <w:start w:val="1"/>
        <w:numFmt w:val="bullet"/>
        <w:lvlText w:val="•"/>
        <w:lvlJc w:val="left"/>
        <w:pPr>
          <w:ind w:left="257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F6F166">
        <w:start w:val="1"/>
        <w:numFmt w:val="bullet"/>
        <w:lvlText w:val="o"/>
        <w:lvlJc w:val="left"/>
        <w:pPr>
          <w:ind w:left="329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8E0732">
        <w:start w:val="1"/>
        <w:numFmt w:val="bullet"/>
        <w:lvlText w:val="▪"/>
        <w:lvlJc w:val="left"/>
        <w:pPr>
          <w:ind w:left="401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F48B52">
        <w:start w:val="1"/>
        <w:numFmt w:val="bullet"/>
        <w:lvlText w:val="•"/>
        <w:lvlJc w:val="left"/>
        <w:pPr>
          <w:ind w:left="47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CC69E56">
        <w:start w:val="1"/>
        <w:numFmt w:val="bullet"/>
        <w:lvlText w:val="o"/>
        <w:lvlJc w:val="left"/>
        <w:pPr>
          <w:ind w:left="545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C4C218">
        <w:start w:val="1"/>
        <w:numFmt w:val="bullet"/>
        <w:lvlText w:val="▪"/>
        <w:lvlJc w:val="left"/>
        <w:pPr>
          <w:ind w:left="617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40262451">
    <w:abstractNumId w:val="14"/>
    <w:lvlOverride w:ilvl="0">
      <w:lvl w:ilvl="0" w:tplc="2794C1C2">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B2480A72">
        <w:start w:val="1"/>
        <w:numFmt w:val="bullet"/>
        <w:lvlText w:val="o"/>
        <w:lvlJc w:val="left"/>
        <w:pPr>
          <w:ind w:left="11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9EA4922A">
        <w:start w:val="1"/>
        <w:numFmt w:val="bullet"/>
        <w:pStyle w:val="ListBullet4"/>
        <w:lvlText w:val="-"/>
        <w:lvlJc w:val="left"/>
        <w:pPr>
          <w:ind w:left="185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D04932C">
        <w:start w:val="1"/>
        <w:numFmt w:val="bullet"/>
        <w:lvlText w:val="•"/>
        <w:lvlJc w:val="left"/>
        <w:pPr>
          <w:ind w:left="257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F6F166">
        <w:start w:val="1"/>
        <w:numFmt w:val="bullet"/>
        <w:lvlText w:val="o"/>
        <w:lvlJc w:val="left"/>
        <w:pPr>
          <w:ind w:left="329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8E0732">
        <w:start w:val="1"/>
        <w:numFmt w:val="bullet"/>
        <w:lvlText w:val="▪"/>
        <w:lvlJc w:val="left"/>
        <w:pPr>
          <w:ind w:left="401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F48B52">
        <w:start w:val="1"/>
        <w:numFmt w:val="bullet"/>
        <w:lvlText w:val="•"/>
        <w:lvlJc w:val="left"/>
        <w:pPr>
          <w:ind w:left="47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CC69E56">
        <w:start w:val="1"/>
        <w:numFmt w:val="bullet"/>
        <w:lvlText w:val="o"/>
        <w:lvlJc w:val="left"/>
        <w:pPr>
          <w:ind w:left="545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C4C218">
        <w:start w:val="1"/>
        <w:numFmt w:val="bullet"/>
        <w:lvlText w:val="▪"/>
        <w:lvlJc w:val="left"/>
        <w:pPr>
          <w:ind w:left="617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600795884">
    <w:abstractNumId w:val="10"/>
  </w:num>
  <w:num w:numId="6" w16cid:durableId="1195801009">
    <w:abstractNumId w:val="4"/>
  </w:num>
  <w:num w:numId="7" w16cid:durableId="944852347">
    <w:abstractNumId w:val="16"/>
  </w:num>
  <w:num w:numId="8" w16cid:durableId="41908175">
    <w:abstractNumId w:val="5"/>
  </w:num>
  <w:num w:numId="9" w16cid:durableId="466970030">
    <w:abstractNumId w:val="12"/>
  </w:num>
  <w:num w:numId="10" w16cid:durableId="1949041727">
    <w:abstractNumId w:val="11"/>
  </w:num>
  <w:num w:numId="11" w16cid:durableId="978652371">
    <w:abstractNumId w:val="6"/>
  </w:num>
  <w:num w:numId="12" w16cid:durableId="484976381">
    <w:abstractNumId w:val="8"/>
  </w:num>
  <w:num w:numId="13" w16cid:durableId="54552465">
    <w:abstractNumId w:val="15"/>
  </w:num>
  <w:num w:numId="14" w16cid:durableId="1795363666">
    <w:abstractNumId w:val="7"/>
  </w:num>
  <w:num w:numId="15" w16cid:durableId="1557739923">
    <w:abstractNumId w:val="13"/>
  </w:num>
  <w:num w:numId="16" w16cid:durableId="32468349">
    <w:abstractNumId w:val="9"/>
  </w:num>
  <w:num w:numId="17" w16cid:durableId="2106000671">
    <w:abstractNumId w:val="2"/>
  </w:num>
  <w:num w:numId="18" w16cid:durableId="1057704960">
    <w:abstractNumId w:val="3"/>
  </w:num>
  <w:num w:numId="19" w16cid:durableId="1597712511">
    <w:abstractNumId w:val="1"/>
  </w:num>
  <w:num w:numId="20" w16cid:durableId="193639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A0"/>
    <w:rsid w:val="00043DA0"/>
    <w:rsid w:val="000D7C55"/>
    <w:rsid w:val="00126631"/>
    <w:rsid w:val="001442DE"/>
    <w:rsid w:val="001F3F12"/>
    <w:rsid w:val="002105DA"/>
    <w:rsid w:val="002B1506"/>
    <w:rsid w:val="002D5A04"/>
    <w:rsid w:val="00410E93"/>
    <w:rsid w:val="004A6061"/>
    <w:rsid w:val="004E0853"/>
    <w:rsid w:val="005407E2"/>
    <w:rsid w:val="00583C52"/>
    <w:rsid w:val="005A490E"/>
    <w:rsid w:val="005B2A45"/>
    <w:rsid w:val="00676662"/>
    <w:rsid w:val="006F29CF"/>
    <w:rsid w:val="007136CC"/>
    <w:rsid w:val="007804C8"/>
    <w:rsid w:val="00781FEE"/>
    <w:rsid w:val="008A6691"/>
    <w:rsid w:val="009028E1"/>
    <w:rsid w:val="009833EF"/>
    <w:rsid w:val="009A4875"/>
    <w:rsid w:val="00A563EC"/>
    <w:rsid w:val="00A62560"/>
    <w:rsid w:val="00A94661"/>
    <w:rsid w:val="00AD0F76"/>
    <w:rsid w:val="00B96619"/>
    <w:rsid w:val="00BB019C"/>
    <w:rsid w:val="00C159BF"/>
    <w:rsid w:val="00CB1048"/>
    <w:rsid w:val="00CE0D80"/>
    <w:rsid w:val="00D37290"/>
    <w:rsid w:val="00EF297E"/>
    <w:rsid w:val="00F06B64"/>
    <w:rsid w:val="00F56DE5"/>
    <w:rsid w:val="00FB26E0"/>
    <w:rsid w:val="00FB3C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4230"/>
  <w15:docId w15:val="{00E15D4D-129B-4658-BC3A-846DDC26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61"/>
    <w:pPr>
      <w:spacing w:after="12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Heading1">
    <w:name w:val="heading 1"/>
    <w:basedOn w:val="Heading2"/>
    <w:next w:val="Normal"/>
    <w:link w:val="Heading1Char"/>
    <w:uiPriority w:val="9"/>
    <w:qFormat/>
    <w:rsid w:val="00A94661"/>
    <w:pPr>
      <w:outlineLvl w:val="0"/>
    </w:pPr>
    <w:rPr>
      <w:b w:val="0"/>
      <w:bCs/>
      <w:sz w:val="28"/>
      <w:szCs w:val="28"/>
      <w:lang w:val="en-US"/>
    </w:rPr>
  </w:style>
  <w:style w:type="paragraph" w:styleId="Heading2">
    <w:name w:val="heading 2"/>
    <w:next w:val="BodyA"/>
    <w:uiPriority w:val="9"/>
    <w:unhideWhenUsed/>
    <w:qFormat/>
    <w:rsid w:val="00A94661"/>
    <w:pPr>
      <w:keepNext/>
      <w:keepLines/>
      <w:spacing w:before="120" w:after="120" w:line="259" w:lineRule="auto"/>
      <w:outlineLvl w:val="1"/>
    </w:pPr>
    <w:rPr>
      <w:rFonts w:ascii="Calibri" w:eastAsia="Calibri Light" w:hAnsi="Calibri" w:cs="Calibri Light"/>
      <w:b/>
      <w:color w:val="2F5496"/>
      <w:sz w:val="24"/>
      <w:szCs w:val="26"/>
      <w:u w:color="2F5496"/>
      <w14:textOutline w14:w="12700" w14:cap="flat" w14:cmpd="sng" w14:algn="ctr">
        <w14:noFill/>
        <w14:prstDash w14:val="solid"/>
        <w14:miter w14:lim="400000"/>
      </w14:textOutline>
    </w:rPr>
  </w:style>
  <w:style w:type="paragraph" w:styleId="Heading3">
    <w:name w:val="heading 3"/>
    <w:next w:val="BodyA"/>
    <w:uiPriority w:val="9"/>
    <w:unhideWhenUsed/>
    <w:qFormat/>
    <w:pPr>
      <w:keepNext/>
      <w:keepLines/>
      <w:spacing w:before="40" w:line="259" w:lineRule="auto"/>
      <w:outlineLvl w:val="2"/>
    </w:pPr>
    <w:rPr>
      <w:rFonts w:ascii="Calibri Light" w:hAnsi="Calibri Light" w:cs="Arial Unicode MS"/>
      <w:color w:val="1F3763"/>
      <w:sz w:val="24"/>
      <w:szCs w:val="24"/>
      <w:u w:color="1F3763"/>
      <w:lang w:val="en-US"/>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Helvetica Neue" w:hAnsi="Helvetica Neue" w:cs="Arial Unicode MS"/>
      <w:color w:val="000000"/>
      <w:sz w:val="36"/>
      <w:szCs w:val="36"/>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paragraph" w:styleId="FootnoteText">
    <w:name w:val="footnote text"/>
    <w:rPr>
      <w:rFonts w:eastAsia="Times New Roman"/>
      <w:color w:val="000000"/>
      <w:u w:color="000000"/>
      <w:lang w:val="en-US"/>
    </w:rPr>
  </w:style>
  <w:style w:type="character" w:customStyle="1" w:styleId="Hyperlink1">
    <w:name w:val="Hyperlink.1"/>
    <w:basedOn w:val="Hyperlink0"/>
    <w:rPr>
      <w:rFonts w:ascii="Calibri" w:eastAsia="Calibri" w:hAnsi="Calibri" w:cs="Calibri"/>
      <w:outline w:val="0"/>
      <w:color w:val="000000"/>
      <w:u w:val="single" w:color="000000"/>
      <w:shd w:val="clear" w:color="auto" w:fill="FFFFFF"/>
    </w:rPr>
  </w:style>
  <w:style w:type="character" w:customStyle="1" w:styleId="None">
    <w:name w:val="None"/>
  </w:style>
  <w:style w:type="character" w:customStyle="1" w:styleId="Hyperlink2">
    <w:name w:val="Hyperlink.2"/>
    <w:basedOn w:val="None"/>
    <w:rPr>
      <w:outline w:val="0"/>
      <w:color w:val="0000FF"/>
      <w:u w:val="single" w:color="0000FF"/>
      <w:lang w:val="en-US"/>
    </w:rPr>
  </w:style>
  <w:style w:type="character" w:customStyle="1" w:styleId="Hyperlink3">
    <w:name w:val="Hyperlink.3"/>
    <w:basedOn w:val="Hyperlink0"/>
    <w:rPr>
      <w:outline w:val="0"/>
      <w:color w:val="0000FF"/>
      <w:u w:val="single" w:color="0000FF"/>
      <w:lang w:val="en-US"/>
    </w:rPr>
  </w:style>
  <w:style w:type="paragraph" w:styleId="NormalWeb">
    <w:name w:val="Normal (Web)"/>
    <w:pPr>
      <w:spacing w:before="100" w:after="100"/>
    </w:pPr>
    <w:rPr>
      <w:rFonts w:cs="Arial Unicode MS"/>
      <w:color w:val="000000"/>
      <w:sz w:val="24"/>
      <w:szCs w:val="24"/>
      <w:u w:color="000000"/>
      <w:lang w:val="en-US"/>
    </w:rPr>
  </w:style>
  <w:style w:type="paragraph" w:styleId="Revision">
    <w:name w:val="Revision"/>
    <w:hidden/>
    <w:uiPriority w:val="99"/>
    <w:semiHidden/>
    <w:rsid w:val="00FB3C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FB26E0"/>
    <w:rPr>
      <w:color w:val="605E5C"/>
      <w:shd w:val="clear" w:color="auto" w:fill="E1DFDD"/>
    </w:rPr>
  </w:style>
  <w:style w:type="character" w:customStyle="1" w:styleId="Heading1Char">
    <w:name w:val="Heading 1 Char"/>
    <w:basedOn w:val="DefaultParagraphFont"/>
    <w:link w:val="Heading1"/>
    <w:uiPriority w:val="9"/>
    <w:rsid w:val="00A94661"/>
    <w:rPr>
      <w:rFonts w:ascii="Calibri" w:eastAsia="Calibri Light" w:hAnsi="Calibri" w:cs="Calibri Light"/>
      <w:b/>
      <w:bCs/>
      <w:color w:val="2F5496"/>
      <w:sz w:val="28"/>
      <w:szCs w:val="28"/>
      <w:u w:color="2F5496"/>
      <w:lang w:val="en-US"/>
      <w14:textOutline w14:w="12700" w14:cap="flat" w14:cmpd="sng" w14:algn="ctr">
        <w14:noFill/>
        <w14:prstDash w14:val="solid"/>
        <w14:miter w14:lim="400000"/>
      </w14:textOutline>
    </w:rPr>
  </w:style>
  <w:style w:type="paragraph" w:styleId="ListBullet2">
    <w:name w:val="List Bullet 2"/>
    <w:basedOn w:val="Normal"/>
    <w:uiPriority w:val="99"/>
    <w:unhideWhenUsed/>
    <w:rsid w:val="00A94661"/>
    <w:pPr>
      <w:numPr>
        <w:numId w:val="17"/>
      </w:numPr>
      <w:contextualSpacing/>
    </w:pPr>
  </w:style>
  <w:style w:type="character" w:styleId="PlaceholderText">
    <w:name w:val="Placeholder Text"/>
    <w:basedOn w:val="DefaultParagraphFont"/>
    <w:uiPriority w:val="99"/>
    <w:semiHidden/>
    <w:rsid w:val="00A94661"/>
    <w:rPr>
      <w:color w:val="666666"/>
    </w:rPr>
  </w:style>
  <w:style w:type="character" w:styleId="Strong">
    <w:name w:val="Strong"/>
    <w:basedOn w:val="DefaultParagraphFont"/>
    <w:uiPriority w:val="22"/>
    <w:qFormat/>
    <w:rsid w:val="00A94661"/>
    <w:rPr>
      <w:b/>
      <w:bCs/>
    </w:rPr>
  </w:style>
  <w:style w:type="paragraph" w:styleId="ListBullet">
    <w:name w:val="List Bullet"/>
    <w:basedOn w:val="Normal"/>
    <w:uiPriority w:val="99"/>
    <w:unhideWhenUsed/>
    <w:rsid w:val="00A94661"/>
    <w:pPr>
      <w:numPr>
        <w:numId w:val="18"/>
      </w:numPr>
      <w:contextualSpacing/>
    </w:pPr>
  </w:style>
  <w:style w:type="paragraph" w:styleId="ListBullet3">
    <w:name w:val="List Bullet 3"/>
    <w:basedOn w:val="Normal"/>
    <w:uiPriority w:val="99"/>
    <w:unhideWhenUsed/>
    <w:rsid w:val="00A94661"/>
    <w:pPr>
      <w:numPr>
        <w:numId w:val="19"/>
      </w:numPr>
      <w:contextualSpacing/>
    </w:pPr>
  </w:style>
  <w:style w:type="paragraph" w:styleId="ListBullet4">
    <w:name w:val="List Bullet 4"/>
    <w:basedOn w:val="ListParagraph"/>
    <w:uiPriority w:val="99"/>
    <w:unhideWhenUsed/>
    <w:rsid w:val="00A94661"/>
    <w:pPr>
      <w:numPr>
        <w:ilvl w:val="2"/>
        <w:numId w:val="2"/>
      </w:numPr>
      <w:spacing w:before="120"/>
      <w:ind w:left="1531"/>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standards.gov.au/about/foodenforcementcontacts/Pages/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odregulation.gov.au/resources/publications/home-jurisdiction-ru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regulation.gov.au/resources/publications/home-jurisdiction-rul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regulation.gov.au/resources/publications/home-jurisdiction-rule"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oodregulation.gov.au/resources/publications/home-jurisdiction-ru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034FAB3-94C0-4011-B635-B9226F86E83D}"/>
      </w:docPartPr>
      <w:docPartBody>
        <w:p w:rsidR="00000000" w:rsidRDefault="008E26C2">
          <w:r w:rsidRPr="005E25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C2"/>
    <w:rsid w:val="004A6061"/>
    <w:rsid w:val="006A7F16"/>
    <w:rsid w:val="008E26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6C2"/>
    <w:rPr>
      <w:color w:val="666666"/>
    </w:rPr>
  </w:style>
  <w:style w:type="paragraph" w:customStyle="1" w:styleId="FCA5E5BF48A845B6B96B721B07337EFA">
    <w:name w:val="FCA5E5BF48A845B6B96B721B07337EFA"/>
    <w:rsid w:val="008E2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43" ma:contentTypeDescription="Create a new document." ma:contentTypeScope="" ma:versionID="2ad65dcd2287509892a5262dc0626b5d">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68b8e78cdb2e0c6e71dafa509c2a0510" ns2:_="" ns3:_="">
    <xsd:import namespace="dcf7b372-aaaa-46d8-9da6-ade9aab953df"/>
    <xsd:import namespace="236487dd-ec90-4f99-8970-1318e5f29791"/>
    <xsd:element name="properties">
      <xsd:complexType>
        <xsd:sequence>
          <xsd:element name="documentManagement">
            <xsd:complexType>
              <xsd:all>
                <xsd:element ref="ns2:_Flow_SignoffStatus" minOccurs="0"/>
                <xsd:element ref="ns2:Reviewer" minOccurs="0"/>
                <xsd:element ref="ns2:Status" minOccurs="0"/>
                <xsd:element ref="ns2:Subtypes" minOccurs="0"/>
                <xsd:element ref="ns2:URLpatter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Peerreviewed_x003f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Reviewer" ma:index="3" nillable="true" ma:displayName="Use case" ma:description="Who is reviewing the content to ensure it is current, accurate and relevant?" ma:format="Dropdown" ma:internalName="Reviewer" ma:readOnly="false">
      <xsd:simpleType>
        <xsd:restriction base="dms:Text">
          <xsd:maxLength value="255"/>
        </xsd:restriction>
      </xsd:simpleType>
    </xsd:element>
    <xsd:element name="Status" ma:index="4" nillable="true" ma:displayName="Status" ma:format="Dropdown" ma:internalName="Status" ma:readOnly="false">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5" nillable="true" ma:displayName="Subtypes" ma:description="Subtypes available to the template&#10;" ma:format="Dropdown" ma:internalName="Subtypes" ma:readOnly="false">
      <xsd:simpleType>
        <xsd:restriction base="dms:Note">
          <xsd:maxLength value="255"/>
        </xsd:restriction>
      </xsd:simpleType>
    </xsd:element>
    <xsd:element name="URLpattern" ma:index="6" nillable="true" ma:displayName="URL pattern" ma:description="The URL pattern to be followed for all objects of this type" ma:format="Dropdown" ma:internalName="URLpatter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Peerreviewed_x003f_" ma:index="28" nillable="true" ma:displayName="SME reviewed?" ma:default="0" ma:format="Dropdown" ma:internalName="Peerreviewed_x003f_">
      <xsd:simpleType>
        <xsd:restriction base="dms:Boolea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ac229c01-420d-4fb4-94f6-2b9ca1e2fb91}" ma:internalName="TaxCatchAll" ma:readOnly="false"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f7b372-aaaa-46d8-9da6-ade9aab953df">
      <Terms xmlns="http://schemas.microsoft.com/office/infopath/2007/PartnerControls"/>
    </lcf76f155ced4ddcb4097134ff3c332f>
    <TaxCatchAll xmlns="236487dd-ec90-4f99-8970-1318e5f29791" xsi:nil="true"/>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Peerreviewed_x003f_ xmlns="dcf7b372-aaaa-46d8-9da6-ade9aab953df">false</Peerreviewed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A661-B556-4FFA-8822-5169831ED40E}">
  <ds:schemaRefs>
    <ds:schemaRef ds:uri="http://schemas.microsoft.com/sharepoint/v3/contenttype/forms"/>
  </ds:schemaRefs>
</ds:datastoreItem>
</file>

<file path=customXml/itemProps2.xml><?xml version="1.0" encoding="utf-8"?>
<ds:datastoreItem xmlns:ds="http://schemas.openxmlformats.org/officeDocument/2006/customXml" ds:itemID="{F8F71829-7874-4C81-936A-6EFB1BC12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DBDC1-EE0C-41C4-B570-4C2C21E94004}">
  <ds:schemaRefs>
    <ds:schemaRef ds:uri="http://schemas.microsoft.com/office/2006/metadata/properties"/>
    <ds:schemaRef ds:uri="http://schemas.microsoft.com/office/infopath/2007/PartnerControls"/>
    <ds:schemaRef ds:uri="dcf7b372-aaaa-46d8-9da6-ade9aab953df"/>
    <ds:schemaRef ds:uri="236487dd-ec90-4f99-8970-1318e5f29791"/>
  </ds:schemaRefs>
</ds:datastoreItem>
</file>

<file path=customXml/itemProps4.xml><?xml version="1.0" encoding="utf-8"?>
<ds:datastoreItem xmlns:ds="http://schemas.openxmlformats.org/officeDocument/2006/customXml" ds:itemID="{CB0C0AE0-7354-4CC4-BD58-033D7A12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1230</Words>
  <Characters>6759</Characters>
  <Application>Microsoft Office Word</Application>
  <DocSecurity>0</DocSecurity>
  <Lines>177</Lines>
  <Paragraphs>80</Paragraphs>
  <ScaleCrop>false</ScaleCrop>
  <HeadingPairs>
    <vt:vector size="2" baseType="variant">
      <vt:variant>
        <vt:lpstr>Title</vt:lpstr>
      </vt:variant>
      <vt:variant>
        <vt:i4>1</vt:i4>
      </vt:variant>
    </vt:vector>
  </HeadingPairs>
  <TitlesOfParts>
    <vt:vector size="1" baseType="lpstr">
      <vt:lpstr>Proforma for referral of significant supply chain shocks to the food regulator</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for referral of significant supply chain shocks to the food regulator </dc:title>
  <dc:subject>Food supply</dc:subject>
  <dc:creator>Food Regulation Standing Committee</dc:creator>
  <cp:keywords>supply chain disruption; food labelling; compositional and packaging requirements; Australia New Zealand Food Standards Code</cp:keywords>
  <cp:lastModifiedBy>MASCHKE, Elvia</cp:lastModifiedBy>
  <cp:revision>5</cp:revision>
  <dcterms:created xsi:type="dcterms:W3CDTF">2026-03-31T02:30:00Z</dcterms:created>
  <dcterms:modified xsi:type="dcterms:W3CDTF">2026-03-31T22:49:00Z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v=2022.1;a=SHA256;h=CC050908ADA50D2A53CA0E74FA17C78F46D92687371A6BB3F6C908F8C288F011</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2023-05-25T04:39:22Z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7121D07549B3BED543D198B383163CC474A75596</vt:lpwstr>
  </property>
  <property fmtid="{D5CDD505-2E9C-101B-9397-08002B2CF9AE}" pid="14" name="PM_DisplayValueSecClassificationWithQualifier">
    <vt:lpwstr/>
  </property>
  <property fmtid="{D5CDD505-2E9C-101B-9397-08002B2CF9AE}" pid="15" name="PM_Originating_FileId">
    <vt:lpwstr>91163C938B134FD28EEC4E1FA4F2CD8D</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D587293C6973EADC6B217888690097B9E446F54106FDF15EB08F0935B4A74E04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666984DFB1E711DD28E9C0B3EFCE77A9</vt:lpwstr>
  </property>
  <property fmtid="{D5CDD505-2E9C-101B-9397-08002B2CF9AE}" pid="25" name="PM_Hash_Salt">
    <vt:lpwstr>7AB6B2F32FA5DCEFD646E990904690A1</vt:lpwstr>
  </property>
  <property fmtid="{D5CDD505-2E9C-101B-9397-08002B2CF9AE}" pid="26" name="PM_Hash_SHA1">
    <vt:lpwstr>D3680BF77E86846DEE9417A3C618FED6D8E26604</vt:lpwstr>
  </property>
  <property fmtid="{D5CDD505-2E9C-101B-9397-08002B2CF9AE}" pid="27" name="ContentTypeId">
    <vt:lpwstr>0x010100BA217076F0871349BCBE5A6EC7EEC4B3</vt:lpwstr>
  </property>
  <property fmtid="{D5CDD505-2E9C-101B-9397-08002B2CF9AE}" pid="28" name="ClassificationContentMarkingHeaderShapeIds">
    <vt:lpwstr>35827f0d,41135227,318695fc</vt:lpwstr>
  </property>
  <property fmtid="{D5CDD505-2E9C-101B-9397-08002B2CF9AE}" pid="29" name="ClassificationContentMarkingHeaderFontProps">
    <vt:lpwstr>#ff0000,12,Aptos</vt:lpwstr>
  </property>
  <property fmtid="{D5CDD505-2E9C-101B-9397-08002B2CF9AE}" pid="30" name="ClassificationContentMarkingHeaderText">
    <vt:lpwstr>OFFICIAL</vt:lpwstr>
  </property>
  <property fmtid="{D5CDD505-2E9C-101B-9397-08002B2CF9AE}" pid="31" name="ClassificationContentMarkingFooterShapeIds">
    <vt:lpwstr>1f2c31b6,605ada9c,12611d01</vt:lpwstr>
  </property>
  <property fmtid="{D5CDD505-2E9C-101B-9397-08002B2CF9AE}" pid="32" name="ClassificationContentMarkingFooterFontProps">
    <vt:lpwstr>#ff0000,12,Aptos</vt:lpwstr>
  </property>
  <property fmtid="{D5CDD505-2E9C-101B-9397-08002B2CF9AE}" pid="33" name="ClassificationContentMarkingFooterText">
    <vt:lpwstr>OFFICIAL</vt:lpwstr>
  </property>
  <property fmtid="{D5CDD505-2E9C-101B-9397-08002B2CF9AE}" pid="34" name="MSIP_Label_7cd3e8b9-ffed-43a8-b7f4-cc2fa0382d36_Enabled">
    <vt:lpwstr>true</vt:lpwstr>
  </property>
  <property fmtid="{D5CDD505-2E9C-101B-9397-08002B2CF9AE}" pid="35" name="MSIP_Label_7cd3e8b9-ffed-43a8-b7f4-cc2fa0382d36_SetDate">
    <vt:lpwstr>2026-03-31T02:30:39Z</vt:lpwstr>
  </property>
  <property fmtid="{D5CDD505-2E9C-101B-9397-08002B2CF9AE}" pid="36" name="MSIP_Label_7cd3e8b9-ffed-43a8-b7f4-cc2fa0382d36_Method">
    <vt:lpwstr>Privileged</vt:lpwstr>
  </property>
  <property fmtid="{D5CDD505-2E9C-101B-9397-08002B2CF9AE}" pid="37" name="MSIP_Label_7cd3e8b9-ffed-43a8-b7f4-cc2fa0382d36_Name">
    <vt:lpwstr>O</vt:lpwstr>
  </property>
  <property fmtid="{D5CDD505-2E9C-101B-9397-08002B2CF9AE}" pid="38" name="MSIP_Label_7cd3e8b9-ffed-43a8-b7f4-cc2fa0382d36_SiteId">
    <vt:lpwstr>34a3929c-73cf-4954-abfe-147dc3517892</vt:lpwstr>
  </property>
  <property fmtid="{D5CDD505-2E9C-101B-9397-08002B2CF9AE}" pid="39" name="MSIP_Label_7cd3e8b9-ffed-43a8-b7f4-cc2fa0382d36_ActionId">
    <vt:lpwstr>c00d328f-9bb8-4f20-bb60-27d268825102</vt:lpwstr>
  </property>
  <property fmtid="{D5CDD505-2E9C-101B-9397-08002B2CF9AE}" pid="40" name="MSIP_Label_7cd3e8b9-ffed-43a8-b7f4-cc2fa0382d36_ContentBits">
    <vt:lpwstr>3</vt:lpwstr>
  </property>
  <property fmtid="{D5CDD505-2E9C-101B-9397-08002B2CF9AE}" pid="41" name="MSIP_Label_7cd3e8b9-ffed-43a8-b7f4-cc2fa0382d36_Tag">
    <vt:lpwstr>10, 0, 1, 1</vt:lpwstr>
  </property>
</Properties>
</file>