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C3BCD" w14:textId="2C6F9672" w:rsidR="00A51709" w:rsidRPr="00EA4CB7" w:rsidRDefault="00A51709" w:rsidP="00EA4CB7">
      <w:pPr>
        <w:pStyle w:val="Title"/>
      </w:pPr>
      <w:bookmarkStart w:id="0" w:name="_Toc49506900"/>
      <w:bookmarkStart w:id="1" w:name="_Toc49513250"/>
      <w:bookmarkStart w:id="2" w:name="_Toc49513388"/>
      <w:bookmarkStart w:id="3" w:name="_Toc50719800"/>
      <w:bookmarkStart w:id="4" w:name="_Toc54273022"/>
      <w:bookmarkStart w:id="5" w:name="_Toc54273161"/>
      <w:bookmarkStart w:id="6" w:name="_Toc54273213"/>
      <w:r w:rsidRPr="00EA4CB7">
        <w:t>POLICY PAPER: EXPLORING OPTIONS FOR IMPROVING THE COMPOSITION OF THE FOOD SUPPLY</w:t>
      </w:r>
      <w:bookmarkEnd w:id="0"/>
      <w:bookmarkEnd w:id="1"/>
      <w:bookmarkEnd w:id="2"/>
      <w:bookmarkEnd w:id="3"/>
      <w:bookmarkEnd w:id="4"/>
      <w:bookmarkEnd w:id="5"/>
      <w:bookmarkEnd w:id="6"/>
    </w:p>
    <w:sdt>
      <w:sdtPr>
        <w:id w:val="-1658833315"/>
        <w:docPartObj>
          <w:docPartGallery w:val="Table of Contents"/>
          <w:docPartUnique/>
        </w:docPartObj>
      </w:sdtPr>
      <w:sdtEndPr>
        <w:rPr>
          <w:b/>
          <w:bCs/>
          <w:noProof/>
        </w:rPr>
      </w:sdtEndPr>
      <w:sdtContent>
        <w:p w14:paraId="3F8E37C0" w14:textId="2B9393D8" w:rsidR="00314224" w:rsidRDefault="007172CC">
          <w:pPr>
            <w:pStyle w:val="TOC1"/>
            <w:tabs>
              <w:tab w:val="right" w:leader="dot" w:pos="9016"/>
            </w:tabs>
            <w:rPr>
              <w:rFonts w:asciiTheme="minorHAnsi" w:eastAsiaTheme="minorEastAsia" w:hAnsiTheme="minorHAnsi" w:cstheme="minorBidi"/>
              <w:noProof/>
              <w:sz w:val="22"/>
              <w:szCs w:val="22"/>
              <w:lang w:eastAsia="en-AU"/>
            </w:rPr>
          </w:pPr>
          <w:r w:rsidRPr="00E412D2">
            <w:rPr>
              <w:rStyle w:val="Heading2Char"/>
            </w:rPr>
            <w:t>Contents</w:t>
          </w:r>
          <w:r>
            <w:fldChar w:fldCharType="begin"/>
          </w:r>
          <w:r>
            <w:instrText xml:space="preserve"> TOC \o "1-3" \h \z \u </w:instrText>
          </w:r>
          <w:r>
            <w:fldChar w:fldCharType="separate"/>
          </w:r>
        </w:p>
        <w:p w14:paraId="4DFDA06F" w14:textId="6D122996"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14" w:history="1">
            <w:r w:rsidR="00314224" w:rsidRPr="000F300F">
              <w:rPr>
                <w:rStyle w:val="Hyperlink"/>
                <w:noProof/>
              </w:rPr>
              <w:t>Executive summary</w:t>
            </w:r>
            <w:r w:rsidR="00314224">
              <w:rPr>
                <w:noProof/>
                <w:webHidden/>
              </w:rPr>
              <w:tab/>
            </w:r>
            <w:r w:rsidR="00314224">
              <w:rPr>
                <w:noProof/>
                <w:webHidden/>
              </w:rPr>
              <w:fldChar w:fldCharType="begin"/>
            </w:r>
            <w:r w:rsidR="00314224">
              <w:rPr>
                <w:noProof/>
                <w:webHidden/>
              </w:rPr>
              <w:instrText xml:space="preserve"> PAGEREF _Toc54273214 \h </w:instrText>
            </w:r>
            <w:r w:rsidR="00314224">
              <w:rPr>
                <w:noProof/>
                <w:webHidden/>
              </w:rPr>
            </w:r>
            <w:r w:rsidR="00314224">
              <w:rPr>
                <w:noProof/>
                <w:webHidden/>
              </w:rPr>
              <w:fldChar w:fldCharType="separate"/>
            </w:r>
            <w:r w:rsidR="00D024BF">
              <w:rPr>
                <w:noProof/>
                <w:webHidden/>
              </w:rPr>
              <w:t>1</w:t>
            </w:r>
            <w:r w:rsidR="00314224">
              <w:rPr>
                <w:noProof/>
                <w:webHidden/>
              </w:rPr>
              <w:fldChar w:fldCharType="end"/>
            </w:r>
          </w:hyperlink>
        </w:p>
        <w:p w14:paraId="3031ABE8" w14:textId="426B545B"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16" w:history="1">
            <w:r w:rsidR="00314224" w:rsidRPr="000F300F">
              <w:rPr>
                <w:rStyle w:val="Hyperlink"/>
                <w:noProof/>
              </w:rPr>
              <w:t>Introduction</w:t>
            </w:r>
            <w:r w:rsidR="00314224">
              <w:rPr>
                <w:noProof/>
                <w:webHidden/>
              </w:rPr>
              <w:tab/>
            </w:r>
            <w:r w:rsidR="00314224">
              <w:rPr>
                <w:noProof/>
                <w:webHidden/>
              </w:rPr>
              <w:fldChar w:fldCharType="begin"/>
            </w:r>
            <w:r w:rsidR="00314224">
              <w:rPr>
                <w:noProof/>
                <w:webHidden/>
              </w:rPr>
              <w:instrText xml:space="preserve"> PAGEREF _Toc54273216 \h </w:instrText>
            </w:r>
            <w:r w:rsidR="00314224">
              <w:rPr>
                <w:noProof/>
                <w:webHidden/>
              </w:rPr>
            </w:r>
            <w:r w:rsidR="00314224">
              <w:rPr>
                <w:noProof/>
                <w:webHidden/>
              </w:rPr>
              <w:fldChar w:fldCharType="separate"/>
            </w:r>
            <w:r w:rsidR="00D024BF">
              <w:rPr>
                <w:noProof/>
                <w:webHidden/>
              </w:rPr>
              <w:t>4</w:t>
            </w:r>
            <w:r w:rsidR="00314224">
              <w:rPr>
                <w:noProof/>
                <w:webHidden/>
              </w:rPr>
              <w:fldChar w:fldCharType="end"/>
            </w:r>
          </w:hyperlink>
        </w:p>
        <w:p w14:paraId="7C9CA85D" w14:textId="588A382A"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17" w:history="1">
            <w:r w:rsidR="00314224" w:rsidRPr="000F300F">
              <w:rPr>
                <w:rStyle w:val="Hyperlink"/>
                <w:noProof/>
              </w:rPr>
              <w:t>Purpose</w:t>
            </w:r>
            <w:r w:rsidR="00314224">
              <w:rPr>
                <w:noProof/>
                <w:webHidden/>
              </w:rPr>
              <w:tab/>
            </w:r>
            <w:r w:rsidR="00314224">
              <w:rPr>
                <w:noProof/>
                <w:webHidden/>
              </w:rPr>
              <w:fldChar w:fldCharType="begin"/>
            </w:r>
            <w:r w:rsidR="00314224">
              <w:rPr>
                <w:noProof/>
                <w:webHidden/>
              </w:rPr>
              <w:instrText xml:space="preserve"> PAGEREF _Toc54273217 \h </w:instrText>
            </w:r>
            <w:r w:rsidR="00314224">
              <w:rPr>
                <w:noProof/>
                <w:webHidden/>
              </w:rPr>
            </w:r>
            <w:r w:rsidR="00314224">
              <w:rPr>
                <w:noProof/>
                <w:webHidden/>
              </w:rPr>
              <w:fldChar w:fldCharType="separate"/>
            </w:r>
            <w:r w:rsidR="00D024BF">
              <w:rPr>
                <w:noProof/>
                <w:webHidden/>
              </w:rPr>
              <w:t>4</w:t>
            </w:r>
            <w:r w:rsidR="00314224">
              <w:rPr>
                <w:noProof/>
                <w:webHidden/>
              </w:rPr>
              <w:fldChar w:fldCharType="end"/>
            </w:r>
          </w:hyperlink>
        </w:p>
        <w:p w14:paraId="20F3E3C2" w14:textId="6E2ABCC3"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18" w:history="1">
            <w:r w:rsidR="00314224" w:rsidRPr="000F300F">
              <w:rPr>
                <w:rStyle w:val="Hyperlink"/>
                <w:b/>
                <w:noProof/>
              </w:rPr>
              <w:t>Part 1: Context and understanding the issue</w:t>
            </w:r>
            <w:r w:rsidR="00314224">
              <w:rPr>
                <w:noProof/>
                <w:webHidden/>
              </w:rPr>
              <w:tab/>
            </w:r>
            <w:r w:rsidR="00314224">
              <w:rPr>
                <w:noProof/>
                <w:webHidden/>
              </w:rPr>
              <w:fldChar w:fldCharType="begin"/>
            </w:r>
            <w:r w:rsidR="00314224">
              <w:rPr>
                <w:noProof/>
                <w:webHidden/>
              </w:rPr>
              <w:instrText xml:space="preserve"> PAGEREF _Toc54273218 \h </w:instrText>
            </w:r>
            <w:r w:rsidR="00314224">
              <w:rPr>
                <w:noProof/>
                <w:webHidden/>
              </w:rPr>
            </w:r>
            <w:r w:rsidR="00314224">
              <w:rPr>
                <w:noProof/>
                <w:webHidden/>
              </w:rPr>
              <w:fldChar w:fldCharType="separate"/>
            </w:r>
            <w:r w:rsidR="00D024BF">
              <w:rPr>
                <w:noProof/>
                <w:webHidden/>
              </w:rPr>
              <w:t>5</w:t>
            </w:r>
            <w:r w:rsidR="00314224">
              <w:rPr>
                <w:noProof/>
                <w:webHidden/>
              </w:rPr>
              <w:fldChar w:fldCharType="end"/>
            </w:r>
          </w:hyperlink>
        </w:p>
        <w:p w14:paraId="47755993" w14:textId="04F837C8"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19" w:history="1">
            <w:r w:rsidR="00314224" w:rsidRPr="000F300F">
              <w:rPr>
                <w:rStyle w:val="Hyperlink"/>
                <w:noProof/>
              </w:rPr>
              <w:t>Evidence-based recommendations for healthy dietary patterns</w:t>
            </w:r>
            <w:r w:rsidR="00314224">
              <w:rPr>
                <w:noProof/>
                <w:webHidden/>
              </w:rPr>
              <w:tab/>
            </w:r>
            <w:r w:rsidR="00314224">
              <w:rPr>
                <w:noProof/>
                <w:webHidden/>
              </w:rPr>
              <w:fldChar w:fldCharType="begin"/>
            </w:r>
            <w:r w:rsidR="00314224">
              <w:rPr>
                <w:noProof/>
                <w:webHidden/>
              </w:rPr>
              <w:instrText xml:space="preserve"> PAGEREF _Toc54273219 \h </w:instrText>
            </w:r>
            <w:r w:rsidR="00314224">
              <w:rPr>
                <w:noProof/>
                <w:webHidden/>
              </w:rPr>
            </w:r>
            <w:r w:rsidR="00314224">
              <w:rPr>
                <w:noProof/>
                <w:webHidden/>
              </w:rPr>
              <w:fldChar w:fldCharType="separate"/>
            </w:r>
            <w:r w:rsidR="00D024BF">
              <w:rPr>
                <w:noProof/>
                <w:webHidden/>
              </w:rPr>
              <w:t>5</w:t>
            </w:r>
            <w:r w:rsidR="00314224">
              <w:rPr>
                <w:noProof/>
                <w:webHidden/>
              </w:rPr>
              <w:fldChar w:fldCharType="end"/>
            </w:r>
          </w:hyperlink>
        </w:p>
        <w:p w14:paraId="7BFA3CE8" w14:textId="23D1025C"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0" w:history="1">
            <w:r w:rsidR="00314224" w:rsidRPr="000F300F">
              <w:rPr>
                <w:rStyle w:val="Hyperlink"/>
                <w:noProof/>
              </w:rPr>
              <w:t>Prevalence and burden of overweight and obesity and poor diets</w:t>
            </w:r>
            <w:r w:rsidR="00314224">
              <w:rPr>
                <w:noProof/>
                <w:webHidden/>
              </w:rPr>
              <w:tab/>
            </w:r>
            <w:r w:rsidR="00314224">
              <w:rPr>
                <w:noProof/>
                <w:webHidden/>
              </w:rPr>
              <w:fldChar w:fldCharType="begin"/>
            </w:r>
            <w:r w:rsidR="00314224">
              <w:rPr>
                <w:noProof/>
                <w:webHidden/>
              </w:rPr>
              <w:instrText xml:space="preserve"> PAGEREF _Toc54273220 \h </w:instrText>
            </w:r>
            <w:r w:rsidR="00314224">
              <w:rPr>
                <w:noProof/>
                <w:webHidden/>
              </w:rPr>
            </w:r>
            <w:r w:rsidR="00314224">
              <w:rPr>
                <w:noProof/>
                <w:webHidden/>
              </w:rPr>
              <w:fldChar w:fldCharType="separate"/>
            </w:r>
            <w:r w:rsidR="00D024BF">
              <w:rPr>
                <w:noProof/>
                <w:webHidden/>
              </w:rPr>
              <w:t>6</w:t>
            </w:r>
            <w:r w:rsidR="00314224">
              <w:rPr>
                <w:noProof/>
                <w:webHidden/>
              </w:rPr>
              <w:fldChar w:fldCharType="end"/>
            </w:r>
          </w:hyperlink>
        </w:p>
        <w:p w14:paraId="49FF8EAF" w14:textId="0702596B"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1" w:history="1">
            <w:r w:rsidR="00314224" w:rsidRPr="000F300F">
              <w:rPr>
                <w:rStyle w:val="Hyperlink"/>
                <w:noProof/>
              </w:rPr>
              <w:t>Approaches for improving population dietary patterns and nutrient intakes</w:t>
            </w:r>
            <w:r w:rsidR="00314224">
              <w:rPr>
                <w:noProof/>
                <w:webHidden/>
              </w:rPr>
              <w:tab/>
            </w:r>
            <w:r w:rsidR="00314224">
              <w:rPr>
                <w:noProof/>
                <w:webHidden/>
              </w:rPr>
              <w:fldChar w:fldCharType="begin"/>
            </w:r>
            <w:r w:rsidR="00314224">
              <w:rPr>
                <w:noProof/>
                <w:webHidden/>
              </w:rPr>
              <w:instrText xml:space="preserve"> PAGEREF _Toc54273221 \h </w:instrText>
            </w:r>
            <w:r w:rsidR="00314224">
              <w:rPr>
                <w:noProof/>
                <w:webHidden/>
              </w:rPr>
            </w:r>
            <w:r w:rsidR="00314224">
              <w:rPr>
                <w:noProof/>
                <w:webHidden/>
              </w:rPr>
              <w:fldChar w:fldCharType="separate"/>
            </w:r>
            <w:r w:rsidR="00D024BF">
              <w:rPr>
                <w:noProof/>
                <w:webHidden/>
              </w:rPr>
              <w:t>7</w:t>
            </w:r>
            <w:r w:rsidR="00314224">
              <w:rPr>
                <w:noProof/>
                <w:webHidden/>
              </w:rPr>
              <w:fldChar w:fldCharType="end"/>
            </w:r>
          </w:hyperlink>
        </w:p>
        <w:p w14:paraId="6C11B9E5" w14:textId="2C1C1767"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2" w:history="1">
            <w:r w:rsidR="00314224" w:rsidRPr="000F300F">
              <w:rPr>
                <w:rStyle w:val="Hyperlink"/>
                <w:noProof/>
              </w:rPr>
              <w:t>Rationale for improving the composition of the food supply compared to other approaches to improving population dietary patterns</w:t>
            </w:r>
            <w:r w:rsidR="00314224">
              <w:rPr>
                <w:noProof/>
                <w:webHidden/>
              </w:rPr>
              <w:tab/>
            </w:r>
            <w:r w:rsidR="00314224">
              <w:rPr>
                <w:noProof/>
                <w:webHidden/>
              </w:rPr>
              <w:fldChar w:fldCharType="begin"/>
            </w:r>
            <w:r w:rsidR="00314224">
              <w:rPr>
                <w:noProof/>
                <w:webHidden/>
              </w:rPr>
              <w:instrText xml:space="preserve"> PAGEREF _Toc54273222 \h </w:instrText>
            </w:r>
            <w:r w:rsidR="00314224">
              <w:rPr>
                <w:noProof/>
                <w:webHidden/>
              </w:rPr>
            </w:r>
            <w:r w:rsidR="00314224">
              <w:rPr>
                <w:noProof/>
                <w:webHidden/>
              </w:rPr>
              <w:fldChar w:fldCharType="separate"/>
            </w:r>
            <w:r w:rsidR="00D024BF">
              <w:rPr>
                <w:noProof/>
                <w:webHidden/>
              </w:rPr>
              <w:t>8</w:t>
            </w:r>
            <w:r w:rsidR="00314224">
              <w:rPr>
                <w:noProof/>
                <w:webHidden/>
              </w:rPr>
              <w:fldChar w:fldCharType="end"/>
            </w:r>
          </w:hyperlink>
        </w:p>
        <w:p w14:paraId="7F157CB9" w14:textId="46D40DD9"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23" w:history="1">
            <w:r w:rsidR="00314224" w:rsidRPr="000F300F">
              <w:rPr>
                <w:rStyle w:val="Hyperlink"/>
                <w:b/>
                <w:noProof/>
              </w:rPr>
              <w:t>Part 2: Current approaches for improving the composition of the food supply</w:t>
            </w:r>
            <w:r w:rsidR="00314224">
              <w:rPr>
                <w:noProof/>
                <w:webHidden/>
              </w:rPr>
              <w:tab/>
            </w:r>
            <w:r w:rsidR="00314224">
              <w:rPr>
                <w:noProof/>
                <w:webHidden/>
              </w:rPr>
              <w:fldChar w:fldCharType="begin"/>
            </w:r>
            <w:r w:rsidR="00314224">
              <w:rPr>
                <w:noProof/>
                <w:webHidden/>
              </w:rPr>
              <w:instrText xml:space="preserve"> PAGEREF _Toc54273223 \h </w:instrText>
            </w:r>
            <w:r w:rsidR="00314224">
              <w:rPr>
                <w:noProof/>
                <w:webHidden/>
              </w:rPr>
            </w:r>
            <w:r w:rsidR="00314224">
              <w:rPr>
                <w:noProof/>
                <w:webHidden/>
              </w:rPr>
              <w:fldChar w:fldCharType="separate"/>
            </w:r>
            <w:r w:rsidR="00D024BF">
              <w:rPr>
                <w:noProof/>
                <w:webHidden/>
              </w:rPr>
              <w:t>11</w:t>
            </w:r>
            <w:r w:rsidR="00314224">
              <w:rPr>
                <w:noProof/>
                <w:webHidden/>
              </w:rPr>
              <w:fldChar w:fldCharType="end"/>
            </w:r>
          </w:hyperlink>
        </w:p>
        <w:p w14:paraId="765ED331" w14:textId="04E3D5A7"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4" w:history="1">
            <w:r w:rsidR="00314224" w:rsidRPr="000F300F">
              <w:rPr>
                <w:rStyle w:val="Hyperlink"/>
                <w:noProof/>
              </w:rPr>
              <w:t>Compositional limits</w:t>
            </w:r>
            <w:r w:rsidR="00314224">
              <w:rPr>
                <w:noProof/>
                <w:webHidden/>
              </w:rPr>
              <w:tab/>
            </w:r>
            <w:r w:rsidR="00314224">
              <w:rPr>
                <w:noProof/>
                <w:webHidden/>
              </w:rPr>
              <w:fldChar w:fldCharType="begin"/>
            </w:r>
            <w:r w:rsidR="00314224">
              <w:rPr>
                <w:noProof/>
                <w:webHidden/>
              </w:rPr>
              <w:instrText xml:space="preserve"> PAGEREF _Toc54273224 \h </w:instrText>
            </w:r>
            <w:r w:rsidR="00314224">
              <w:rPr>
                <w:noProof/>
                <w:webHidden/>
              </w:rPr>
            </w:r>
            <w:r w:rsidR="00314224">
              <w:rPr>
                <w:noProof/>
                <w:webHidden/>
              </w:rPr>
              <w:fldChar w:fldCharType="separate"/>
            </w:r>
            <w:r w:rsidR="00D024BF">
              <w:rPr>
                <w:noProof/>
                <w:webHidden/>
              </w:rPr>
              <w:t>11</w:t>
            </w:r>
            <w:r w:rsidR="00314224">
              <w:rPr>
                <w:noProof/>
                <w:webHidden/>
              </w:rPr>
              <w:fldChar w:fldCharType="end"/>
            </w:r>
          </w:hyperlink>
        </w:p>
        <w:p w14:paraId="2ED90719" w14:textId="0DF2328F"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5" w:history="1">
            <w:r w:rsidR="00314224" w:rsidRPr="000F300F">
              <w:rPr>
                <w:rStyle w:val="Hyperlink"/>
                <w:noProof/>
              </w:rPr>
              <w:t>Voluntary reformulation</w:t>
            </w:r>
            <w:r w:rsidR="00314224">
              <w:rPr>
                <w:noProof/>
                <w:webHidden/>
              </w:rPr>
              <w:tab/>
            </w:r>
            <w:r w:rsidR="00314224">
              <w:rPr>
                <w:noProof/>
                <w:webHidden/>
              </w:rPr>
              <w:fldChar w:fldCharType="begin"/>
            </w:r>
            <w:r w:rsidR="00314224">
              <w:rPr>
                <w:noProof/>
                <w:webHidden/>
              </w:rPr>
              <w:instrText xml:space="preserve"> PAGEREF _Toc54273225 \h </w:instrText>
            </w:r>
            <w:r w:rsidR="00314224">
              <w:rPr>
                <w:noProof/>
                <w:webHidden/>
              </w:rPr>
            </w:r>
            <w:r w:rsidR="00314224">
              <w:rPr>
                <w:noProof/>
                <w:webHidden/>
              </w:rPr>
              <w:fldChar w:fldCharType="separate"/>
            </w:r>
            <w:r w:rsidR="00D024BF">
              <w:rPr>
                <w:noProof/>
                <w:webHidden/>
              </w:rPr>
              <w:t>14</w:t>
            </w:r>
            <w:r w:rsidR="00314224">
              <w:rPr>
                <w:noProof/>
                <w:webHidden/>
              </w:rPr>
              <w:fldChar w:fldCharType="end"/>
            </w:r>
          </w:hyperlink>
        </w:p>
        <w:p w14:paraId="56F20D24" w14:textId="47FD7087"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6" w:history="1">
            <w:r w:rsidR="00314224" w:rsidRPr="000F300F">
              <w:rPr>
                <w:rStyle w:val="Hyperlink"/>
                <w:noProof/>
              </w:rPr>
              <w:t>Other activities that have contributed to food reformulation</w:t>
            </w:r>
            <w:r w:rsidR="00314224">
              <w:rPr>
                <w:noProof/>
                <w:webHidden/>
              </w:rPr>
              <w:tab/>
            </w:r>
            <w:r w:rsidR="00314224">
              <w:rPr>
                <w:noProof/>
                <w:webHidden/>
              </w:rPr>
              <w:fldChar w:fldCharType="begin"/>
            </w:r>
            <w:r w:rsidR="00314224">
              <w:rPr>
                <w:noProof/>
                <w:webHidden/>
              </w:rPr>
              <w:instrText xml:space="preserve"> PAGEREF _Toc54273226 \h </w:instrText>
            </w:r>
            <w:r w:rsidR="00314224">
              <w:rPr>
                <w:noProof/>
                <w:webHidden/>
              </w:rPr>
            </w:r>
            <w:r w:rsidR="00314224">
              <w:rPr>
                <w:noProof/>
                <w:webHidden/>
              </w:rPr>
              <w:fldChar w:fldCharType="separate"/>
            </w:r>
            <w:r w:rsidR="00D024BF">
              <w:rPr>
                <w:noProof/>
                <w:webHidden/>
              </w:rPr>
              <w:t>23</w:t>
            </w:r>
            <w:r w:rsidR="00314224">
              <w:rPr>
                <w:noProof/>
                <w:webHidden/>
              </w:rPr>
              <w:fldChar w:fldCharType="end"/>
            </w:r>
          </w:hyperlink>
        </w:p>
        <w:p w14:paraId="1EEF0DB9" w14:textId="7E2569AA"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27" w:history="1">
            <w:r w:rsidR="00314224" w:rsidRPr="000F300F">
              <w:rPr>
                <w:rStyle w:val="Hyperlink"/>
                <w:b/>
                <w:noProof/>
              </w:rPr>
              <w:t>Part 3: Food and nutrient intakes in Australia and New Zealand, identification of where reformulation actions are already occurring, and consideration of potential gaps for activities to improve food composition.</w:t>
            </w:r>
            <w:r w:rsidR="00314224">
              <w:rPr>
                <w:noProof/>
                <w:webHidden/>
              </w:rPr>
              <w:tab/>
            </w:r>
            <w:r w:rsidR="00314224">
              <w:rPr>
                <w:noProof/>
                <w:webHidden/>
              </w:rPr>
              <w:fldChar w:fldCharType="begin"/>
            </w:r>
            <w:r w:rsidR="00314224">
              <w:rPr>
                <w:noProof/>
                <w:webHidden/>
              </w:rPr>
              <w:instrText xml:space="preserve"> PAGEREF _Toc54273227 \h </w:instrText>
            </w:r>
            <w:r w:rsidR="00314224">
              <w:rPr>
                <w:noProof/>
                <w:webHidden/>
              </w:rPr>
            </w:r>
            <w:r w:rsidR="00314224">
              <w:rPr>
                <w:noProof/>
                <w:webHidden/>
              </w:rPr>
              <w:fldChar w:fldCharType="separate"/>
            </w:r>
            <w:r w:rsidR="00D024BF">
              <w:rPr>
                <w:noProof/>
                <w:webHidden/>
              </w:rPr>
              <w:t>25</w:t>
            </w:r>
            <w:r w:rsidR="00314224">
              <w:rPr>
                <w:noProof/>
                <w:webHidden/>
              </w:rPr>
              <w:fldChar w:fldCharType="end"/>
            </w:r>
          </w:hyperlink>
        </w:p>
        <w:p w14:paraId="53EE3E69" w14:textId="623AF782"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8" w:history="1">
            <w:r w:rsidR="00314224" w:rsidRPr="000F300F">
              <w:rPr>
                <w:rStyle w:val="Hyperlink"/>
                <w:noProof/>
              </w:rPr>
              <w:t>Saturated fats</w:t>
            </w:r>
            <w:r w:rsidR="00314224">
              <w:rPr>
                <w:noProof/>
                <w:webHidden/>
              </w:rPr>
              <w:tab/>
            </w:r>
            <w:r w:rsidR="00314224">
              <w:rPr>
                <w:noProof/>
                <w:webHidden/>
              </w:rPr>
              <w:fldChar w:fldCharType="begin"/>
            </w:r>
            <w:r w:rsidR="00314224">
              <w:rPr>
                <w:noProof/>
                <w:webHidden/>
              </w:rPr>
              <w:instrText xml:space="preserve"> PAGEREF _Toc54273228 \h </w:instrText>
            </w:r>
            <w:r w:rsidR="00314224">
              <w:rPr>
                <w:noProof/>
                <w:webHidden/>
              </w:rPr>
            </w:r>
            <w:r w:rsidR="00314224">
              <w:rPr>
                <w:noProof/>
                <w:webHidden/>
              </w:rPr>
              <w:fldChar w:fldCharType="separate"/>
            </w:r>
            <w:r w:rsidR="00D024BF">
              <w:rPr>
                <w:noProof/>
                <w:webHidden/>
              </w:rPr>
              <w:t>25</w:t>
            </w:r>
            <w:r w:rsidR="00314224">
              <w:rPr>
                <w:noProof/>
                <w:webHidden/>
              </w:rPr>
              <w:fldChar w:fldCharType="end"/>
            </w:r>
          </w:hyperlink>
        </w:p>
        <w:p w14:paraId="75DD1191" w14:textId="4A778E68"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29" w:history="1">
            <w:r w:rsidR="00314224" w:rsidRPr="000F300F">
              <w:rPr>
                <w:rStyle w:val="Hyperlink"/>
                <w:noProof/>
              </w:rPr>
              <w:t>Trans fats</w:t>
            </w:r>
            <w:r w:rsidR="00314224">
              <w:rPr>
                <w:noProof/>
                <w:webHidden/>
              </w:rPr>
              <w:tab/>
            </w:r>
            <w:r w:rsidR="00314224">
              <w:rPr>
                <w:noProof/>
                <w:webHidden/>
              </w:rPr>
              <w:fldChar w:fldCharType="begin"/>
            </w:r>
            <w:r w:rsidR="00314224">
              <w:rPr>
                <w:noProof/>
                <w:webHidden/>
              </w:rPr>
              <w:instrText xml:space="preserve"> PAGEREF _Toc54273229 \h </w:instrText>
            </w:r>
            <w:r w:rsidR="00314224">
              <w:rPr>
                <w:noProof/>
                <w:webHidden/>
              </w:rPr>
            </w:r>
            <w:r w:rsidR="00314224">
              <w:rPr>
                <w:noProof/>
                <w:webHidden/>
              </w:rPr>
              <w:fldChar w:fldCharType="separate"/>
            </w:r>
            <w:r w:rsidR="00D024BF">
              <w:rPr>
                <w:noProof/>
                <w:webHidden/>
              </w:rPr>
              <w:t>29</w:t>
            </w:r>
            <w:r w:rsidR="00314224">
              <w:rPr>
                <w:noProof/>
                <w:webHidden/>
              </w:rPr>
              <w:fldChar w:fldCharType="end"/>
            </w:r>
          </w:hyperlink>
        </w:p>
        <w:p w14:paraId="3CF7D632" w14:textId="14921888"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30" w:history="1">
            <w:r w:rsidR="00314224" w:rsidRPr="000F300F">
              <w:rPr>
                <w:rStyle w:val="Hyperlink"/>
                <w:noProof/>
              </w:rPr>
              <w:t>Sugars</w:t>
            </w:r>
            <w:r w:rsidR="00314224">
              <w:rPr>
                <w:noProof/>
                <w:webHidden/>
              </w:rPr>
              <w:tab/>
            </w:r>
            <w:r w:rsidR="00314224">
              <w:rPr>
                <w:noProof/>
                <w:webHidden/>
              </w:rPr>
              <w:fldChar w:fldCharType="begin"/>
            </w:r>
            <w:r w:rsidR="00314224">
              <w:rPr>
                <w:noProof/>
                <w:webHidden/>
              </w:rPr>
              <w:instrText xml:space="preserve"> PAGEREF _Toc54273230 \h </w:instrText>
            </w:r>
            <w:r w:rsidR="00314224">
              <w:rPr>
                <w:noProof/>
                <w:webHidden/>
              </w:rPr>
            </w:r>
            <w:r w:rsidR="00314224">
              <w:rPr>
                <w:noProof/>
                <w:webHidden/>
              </w:rPr>
              <w:fldChar w:fldCharType="separate"/>
            </w:r>
            <w:r w:rsidR="00D024BF">
              <w:rPr>
                <w:noProof/>
                <w:webHidden/>
              </w:rPr>
              <w:t>33</w:t>
            </w:r>
            <w:r w:rsidR="00314224">
              <w:rPr>
                <w:noProof/>
                <w:webHidden/>
              </w:rPr>
              <w:fldChar w:fldCharType="end"/>
            </w:r>
          </w:hyperlink>
        </w:p>
        <w:p w14:paraId="0AE11302" w14:textId="0654E159"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31" w:history="1">
            <w:r w:rsidR="00314224" w:rsidRPr="000F300F">
              <w:rPr>
                <w:rStyle w:val="Hyperlink"/>
                <w:noProof/>
              </w:rPr>
              <w:t>Sodium/salt</w:t>
            </w:r>
            <w:r w:rsidR="00314224">
              <w:rPr>
                <w:noProof/>
                <w:webHidden/>
              </w:rPr>
              <w:tab/>
            </w:r>
            <w:r w:rsidR="00314224">
              <w:rPr>
                <w:noProof/>
                <w:webHidden/>
              </w:rPr>
              <w:fldChar w:fldCharType="begin"/>
            </w:r>
            <w:r w:rsidR="00314224">
              <w:rPr>
                <w:noProof/>
                <w:webHidden/>
              </w:rPr>
              <w:instrText xml:space="preserve"> PAGEREF _Toc54273231 \h </w:instrText>
            </w:r>
            <w:r w:rsidR="00314224">
              <w:rPr>
                <w:noProof/>
                <w:webHidden/>
              </w:rPr>
            </w:r>
            <w:r w:rsidR="00314224">
              <w:rPr>
                <w:noProof/>
                <w:webHidden/>
              </w:rPr>
              <w:fldChar w:fldCharType="separate"/>
            </w:r>
            <w:r w:rsidR="00D024BF">
              <w:rPr>
                <w:noProof/>
                <w:webHidden/>
              </w:rPr>
              <w:t>38</w:t>
            </w:r>
            <w:r w:rsidR="00314224">
              <w:rPr>
                <w:noProof/>
                <w:webHidden/>
              </w:rPr>
              <w:fldChar w:fldCharType="end"/>
            </w:r>
          </w:hyperlink>
        </w:p>
        <w:p w14:paraId="77A2FB35" w14:textId="798DDC70"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32" w:history="1">
            <w:r w:rsidR="00314224" w:rsidRPr="000F300F">
              <w:rPr>
                <w:rStyle w:val="Hyperlink"/>
                <w:noProof/>
              </w:rPr>
              <w:t>Positive foods</w:t>
            </w:r>
            <w:r w:rsidR="00314224">
              <w:rPr>
                <w:noProof/>
                <w:webHidden/>
              </w:rPr>
              <w:tab/>
            </w:r>
            <w:r w:rsidR="00314224">
              <w:rPr>
                <w:noProof/>
                <w:webHidden/>
              </w:rPr>
              <w:fldChar w:fldCharType="begin"/>
            </w:r>
            <w:r w:rsidR="00314224">
              <w:rPr>
                <w:noProof/>
                <w:webHidden/>
              </w:rPr>
              <w:instrText xml:space="preserve"> PAGEREF _Toc54273232 \h </w:instrText>
            </w:r>
            <w:r w:rsidR="00314224">
              <w:rPr>
                <w:noProof/>
                <w:webHidden/>
              </w:rPr>
            </w:r>
            <w:r w:rsidR="00314224">
              <w:rPr>
                <w:noProof/>
                <w:webHidden/>
              </w:rPr>
              <w:fldChar w:fldCharType="separate"/>
            </w:r>
            <w:r w:rsidR="00D024BF">
              <w:rPr>
                <w:noProof/>
                <w:webHidden/>
              </w:rPr>
              <w:t>43</w:t>
            </w:r>
            <w:r w:rsidR="00314224">
              <w:rPr>
                <w:noProof/>
                <w:webHidden/>
              </w:rPr>
              <w:fldChar w:fldCharType="end"/>
            </w:r>
          </w:hyperlink>
        </w:p>
        <w:p w14:paraId="428C0508" w14:textId="79E1581F" w:rsidR="00314224" w:rsidRDefault="00B55E84">
          <w:pPr>
            <w:pStyle w:val="TOC2"/>
            <w:tabs>
              <w:tab w:val="right" w:leader="dot" w:pos="9016"/>
            </w:tabs>
            <w:rPr>
              <w:rFonts w:asciiTheme="minorHAnsi" w:eastAsiaTheme="minorEastAsia" w:hAnsiTheme="minorHAnsi" w:cstheme="minorBidi"/>
              <w:noProof/>
              <w:sz w:val="22"/>
              <w:szCs w:val="22"/>
              <w:lang w:eastAsia="en-AU"/>
            </w:rPr>
          </w:pPr>
          <w:hyperlink w:anchor="_Toc54273233" w:history="1">
            <w:r w:rsidR="00314224" w:rsidRPr="000F300F">
              <w:rPr>
                <w:rStyle w:val="Hyperlink"/>
                <w:b/>
                <w:noProof/>
              </w:rPr>
              <w:t>Part 4: Recommendations and next steps</w:t>
            </w:r>
            <w:r w:rsidR="00314224">
              <w:rPr>
                <w:noProof/>
                <w:webHidden/>
              </w:rPr>
              <w:tab/>
            </w:r>
            <w:r w:rsidR="00314224">
              <w:rPr>
                <w:noProof/>
                <w:webHidden/>
              </w:rPr>
              <w:fldChar w:fldCharType="begin"/>
            </w:r>
            <w:r w:rsidR="00314224">
              <w:rPr>
                <w:noProof/>
                <w:webHidden/>
              </w:rPr>
              <w:instrText xml:space="preserve"> PAGEREF _Toc54273233 \h </w:instrText>
            </w:r>
            <w:r w:rsidR="00314224">
              <w:rPr>
                <w:noProof/>
                <w:webHidden/>
              </w:rPr>
            </w:r>
            <w:r w:rsidR="00314224">
              <w:rPr>
                <w:noProof/>
                <w:webHidden/>
              </w:rPr>
              <w:fldChar w:fldCharType="separate"/>
            </w:r>
            <w:r w:rsidR="00D024BF">
              <w:rPr>
                <w:noProof/>
                <w:webHidden/>
              </w:rPr>
              <w:t>45</w:t>
            </w:r>
            <w:r w:rsidR="00314224">
              <w:rPr>
                <w:noProof/>
                <w:webHidden/>
              </w:rPr>
              <w:fldChar w:fldCharType="end"/>
            </w:r>
          </w:hyperlink>
        </w:p>
        <w:p w14:paraId="10A9E996" w14:textId="046F3705"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34" w:history="1">
            <w:r w:rsidR="00314224" w:rsidRPr="000F300F">
              <w:rPr>
                <w:rStyle w:val="Hyperlink"/>
                <w:noProof/>
              </w:rPr>
              <w:t>Recommendations</w:t>
            </w:r>
            <w:r w:rsidR="00314224">
              <w:rPr>
                <w:noProof/>
                <w:webHidden/>
              </w:rPr>
              <w:tab/>
            </w:r>
            <w:r w:rsidR="00314224">
              <w:rPr>
                <w:noProof/>
                <w:webHidden/>
              </w:rPr>
              <w:fldChar w:fldCharType="begin"/>
            </w:r>
            <w:r w:rsidR="00314224">
              <w:rPr>
                <w:noProof/>
                <w:webHidden/>
              </w:rPr>
              <w:instrText xml:space="preserve"> PAGEREF _Toc54273234 \h </w:instrText>
            </w:r>
            <w:r w:rsidR="00314224">
              <w:rPr>
                <w:noProof/>
                <w:webHidden/>
              </w:rPr>
            </w:r>
            <w:r w:rsidR="00314224">
              <w:rPr>
                <w:noProof/>
                <w:webHidden/>
              </w:rPr>
              <w:fldChar w:fldCharType="separate"/>
            </w:r>
            <w:r w:rsidR="00D024BF">
              <w:rPr>
                <w:noProof/>
                <w:webHidden/>
              </w:rPr>
              <w:t>45</w:t>
            </w:r>
            <w:r w:rsidR="00314224">
              <w:rPr>
                <w:noProof/>
                <w:webHidden/>
              </w:rPr>
              <w:fldChar w:fldCharType="end"/>
            </w:r>
          </w:hyperlink>
        </w:p>
        <w:p w14:paraId="6172E5A0" w14:textId="3FB5B7F3" w:rsidR="00314224" w:rsidRDefault="00B55E84">
          <w:pPr>
            <w:pStyle w:val="TOC3"/>
            <w:tabs>
              <w:tab w:val="right" w:leader="dot" w:pos="9016"/>
            </w:tabs>
            <w:rPr>
              <w:rFonts w:asciiTheme="minorHAnsi" w:eastAsiaTheme="minorEastAsia" w:hAnsiTheme="minorHAnsi" w:cstheme="minorBidi"/>
              <w:noProof/>
              <w:sz w:val="22"/>
              <w:szCs w:val="22"/>
              <w:lang w:eastAsia="en-AU"/>
            </w:rPr>
          </w:pPr>
          <w:hyperlink w:anchor="_Toc54273235" w:history="1">
            <w:r w:rsidR="00314224" w:rsidRPr="000F300F">
              <w:rPr>
                <w:rStyle w:val="Hyperlink"/>
                <w:noProof/>
              </w:rPr>
              <w:t>Next steps</w:t>
            </w:r>
            <w:r w:rsidR="00314224">
              <w:rPr>
                <w:noProof/>
                <w:webHidden/>
              </w:rPr>
              <w:tab/>
            </w:r>
            <w:r w:rsidR="00314224">
              <w:rPr>
                <w:noProof/>
                <w:webHidden/>
              </w:rPr>
              <w:fldChar w:fldCharType="begin"/>
            </w:r>
            <w:r w:rsidR="00314224">
              <w:rPr>
                <w:noProof/>
                <w:webHidden/>
              </w:rPr>
              <w:instrText xml:space="preserve"> PAGEREF _Toc54273235 \h </w:instrText>
            </w:r>
            <w:r w:rsidR="00314224">
              <w:rPr>
                <w:noProof/>
                <w:webHidden/>
              </w:rPr>
            </w:r>
            <w:r w:rsidR="00314224">
              <w:rPr>
                <w:noProof/>
                <w:webHidden/>
              </w:rPr>
              <w:fldChar w:fldCharType="separate"/>
            </w:r>
            <w:r w:rsidR="00D024BF">
              <w:rPr>
                <w:noProof/>
                <w:webHidden/>
              </w:rPr>
              <w:t>46</w:t>
            </w:r>
            <w:r w:rsidR="00314224">
              <w:rPr>
                <w:noProof/>
                <w:webHidden/>
              </w:rPr>
              <w:fldChar w:fldCharType="end"/>
            </w:r>
          </w:hyperlink>
        </w:p>
        <w:p w14:paraId="0FE00591" w14:textId="0194A453" w:rsidR="00314224" w:rsidRDefault="00B55E84">
          <w:pPr>
            <w:pStyle w:val="TOC1"/>
            <w:tabs>
              <w:tab w:val="right" w:leader="dot" w:pos="9016"/>
            </w:tabs>
            <w:rPr>
              <w:rFonts w:asciiTheme="minorHAnsi" w:eastAsiaTheme="minorEastAsia" w:hAnsiTheme="minorHAnsi" w:cstheme="minorBidi"/>
              <w:noProof/>
              <w:sz w:val="22"/>
              <w:szCs w:val="22"/>
              <w:lang w:eastAsia="en-AU"/>
            </w:rPr>
          </w:pPr>
          <w:hyperlink w:anchor="_Toc54273236" w:history="1">
            <w:r w:rsidR="00314224" w:rsidRPr="000F300F">
              <w:rPr>
                <w:rStyle w:val="Hyperlink"/>
                <w:noProof/>
              </w:rPr>
              <w:t>Appendix 1</w:t>
            </w:r>
            <w:r w:rsidR="00314224">
              <w:rPr>
                <w:noProof/>
                <w:webHidden/>
              </w:rPr>
              <w:tab/>
            </w:r>
            <w:r w:rsidR="00314224">
              <w:rPr>
                <w:noProof/>
                <w:webHidden/>
              </w:rPr>
              <w:fldChar w:fldCharType="begin"/>
            </w:r>
            <w:r w:rsidR="00314224">
              <w:rPr>
                <w:noProof/>
                <w:webHidden/>
              </w:rPr>
              <w:instrText xml:space="preserve"> PAGEREF _Toc54273236 \h </w:instrText>
            </w:r>
            <w:r w:rsidR="00314224">
              <w:rPr>
                <w:noProof/>
                <w:webHidden/>
              </w:rPr>
            </w:r>
            <w:r w:rsidR="00314224">
              <w:rPr>
                <w:noProof/>
                <w:webHidden/>
              </w:rPr>
              <w:fldChar w:fldCharType="separate"/>
            </w:r>
            <w:r w:rsidR="00D024BF">
              <w:rPr>
                <w:noProof/>
                <w:webHidden/>
              </w:rPr>
              <w:t>47</w:t>
            </w:r>
            <w:r w:rsidR="00314224">
              <w:rPr>
                <w:noProof/>
                <w:webHidden/>
              </w:rPr>
              <w:fldChar w:fldCharType="end"/>
            </w:r>
          </w:hyperlink>
        </w:p>
        <w:p w14:paraId="29DF1CEF" w14:textId="74C7F428" w:rsidR="00314224" w:rsidRDefault="00B55E84">
          <w:pPr>
            <w:pStyle w:val="TOC1"/>
            <w:tabs>
              <w:tab w:val="right" w:leader="dot" w:pos="9016"/>
            </w:tabs>
            <w:rPr>
              <w:rFonts w:asciiTheme="minorHAnsi" w:eastAsiaTheme="minorEastAsia" w:hAnsiTheme="minorHAnsi" w:cstheme="minorBidi"/>
              <w:noProof/>
              <w:sz w:val="22"/>
              <w:szCs w:val="22"/>
              <w:lang w:eastAsia="en-AU"/>
            </w:rPr>
          </w:pPr>
          <w:hyperlink w:anchor="_Toc54273238" w:history="1">
            <w:r w:rsidR="00314224" w:rsidRPr="000F300F">
              <w:rPr>
                <w:rStyle w:val="Hyperlink"/>
                <w:noProof/>
              </w:rPr>
              <w:t>Appendix 2</w:t>
            </w:r>
            <w:r w:rsidR="00314224">
              <w:rPr>
                <w:noProof/>
                <w:webHidden/>
              </w:rPr>
              <w:tab/>
            </w:r>
            <w:r w:rsidR="00314224">
              <w:rPr>
                <w:noProof/>
                <w:webHidden/>
              </w:rPr>
              <w:fldChar w:fldCharType="begin"/>
            </w:r>
            <w:r w:rsidR="00314224">
              <w:rPr>
                <w:noProof/>
                <w:webHidden/>
              </w:rPr>
              <w:instrText xml:space="preserve"> PAGEREF _Toc54273238 \h </w:instrText>
            </w:r>
            <w:r w:rsidR="00314224">
              <w:rPr>
                <w:noProof/>
                <w:webHidden/>
              </w:rPr>
            </w:r>
            <w:r w:rsidR="00314224">
              <w:rPr>
                <w:noProof/>
                <w:webHidden/>
              </w:rPr>
              <w:fldChar w:fldCharType="separate"/>
            </w:r>
            <w:r w:rsidR="00D024BF">
              <w:rPr>
                <w:noProof/>
                <w:webHidden/>
              </w:rPr>
              <w:t>49</w:t>
            </w:r>
            <w:r w:rsidR="00314224">
              <w:rPr>
                <w:noProof/>
                <w:webHidden/>
              </w:rPr>
              <w:fldChar w:fldCharType="end"/>
            </w:r>
          </w:hyperlink>
        </w:p>
        <w:p w14:paraId="2F9E784E" w14:textId="2F856E0C" w:rsidR="00314224" w:rsidRDefault="00B55E84">
          <w:pPr>
            <w:pStyle w:val="TOC1"/>
            <w:tabs>
              <w:tab w:val="right" w:leader="dot" w:pos="9016"/>
            </w:tabs>
            <w:rPr>
              <w:rFonts w:asciiTheme="minorHAnsi" w:eastAsiaTheme="minorEastAsia" w:hAnsiTheme="minorHAnsi" w:cstheme="minorBidi"/>
              <w:noProof/>
              <w:sz w:val="22"/>
              <w:szCs w:val="22"/>
              <w:lang w:eastAsia="en-AU"/>
            </w:rPr>
          </w:pPr>
          <w:hyperlink w:anchor="_Toc54273240" w:history="1">
            <w:r w:rsidR="00314224" w:rsidRPr="000F300F">
              <w:rPr>
                <w:rStyle w:val="Hyperlink"/>
                <w:noProof/>
              </w:rPr>
              <w:t>Appendix 3</w:t>
            </w:r>
            <w:r w:rsidR="00314224">
              <w:rPr>
                <w:noProof/>
                <w:webHidden/>
              </w:rPr>
              <w:tab/>
            </w:r>
            <w:r w:rsidR="00314224">
              <w:rPr>
                <w:noProof/>
                <w:webHidden/>
              </w:rPr>
              <w:fldChar w:fldCharType="begin"/>
            </w:r>
            <w:r w:rsidR="00314224">
              <w:rPr>
                <w:noProof/>
                <w:webHidden/>
              </w:rPr>
              <w:instrText xml:space="preserve"> PAGEREF _Toc54273240 \h </w:instrText>
            </w:r>
            <w:r w:rsidR="00314224">
              <w:rPr>
                <w:noProof/>
                <w:webHidden/>
              </w:rPr>
            </w:r>
            <w:r w:rsidR="00314224">
              <w:rPr>
                <w:noProof/>
                <w:webHidden/>
              </w:rPr>
              <w:fldChar w:fldCharType="separate"/>
            </w:r>
            <w:r w:rsidR="00D024BF">
              <w:rPr>
                <w:noProof/>
                <w:webHidden/>
              </w:rPr>
              <w:t>50</w:t>
            </w:r>
            <w:r w:rsidR="00314224">
              <w:rPr>
                <w:noProof/>
                <w:webHidden/>
              </w:rPr>
              <w:fldChar w:fldCharType="end"/>
            </w:r>
          </w:hyperlink>
        </w:p>
        <w:p w14:paraId="1A1CA018" w14:textId="678F614F" w:rsidR="00314224" w:rsidRDefault="00B55E84">
          <w:pPr>
            <w:pStyle w:val="TOC1"/>
            <w:tabs>
              <w:tab w:val="right" w:leader="dot" w:pos="9016"/>
            </w:tabs>
            <w:rPr>
              <w:rFonts w:asciiTheme="minorHAnsi" w:eastAsiaTheme="minorEastAsia" w:hAnsiTheme="minorHAnsi" w:cstheme="minorBidi"/>
              <w:noProof/>
              <w:sz w:val="22"/>
              <w:szCs w:val="22"/>
              <w:lang w:eastAsia="en-AU"/>
            </w:rPr>
          </w:pPr>
          <w:hyperlink w:anchor="_Toc54273243" w:history="1">
            <w:r w:rsidR="00314224" w:rsidRPr="000F300F">
              <w:rPr>
                <w:rStyle w:val="Hyperlink"/>
                <w:noProof/>
              </w:rPr>
              <w:t>Appendix 4</w:t>
            </w:r>
            <w:r w:rsidR="00314224">
              <w:rPr>
                <w:noProof/>
                <w:webHidden/>
              </w:rPr>
              <w:tab/>
            </w:r>
            <w:r w:rsidR="00314224">
              <w:rPr>
                <w:noProof/>
                <w:webHidden/>
              </w:rPr>
              <w:fldChar w:fldCharType="begin"/>
            </w:r>
            <w:r w:rsidR="00314224">
              <w:rPr>
                <w:noProof/>
                <w:webHidden/>
              </w:rPr>
              <w:instrText xml:space="preserve"> PAGEREF _Toc54273243 \h </w:instrText>
            </w:r>
            <w:r w:rsidR="00314224">
              <w:rPr>
                <w:noProof/>
                <w:webHidden/>
              </w:rPr>
            </w:r>
            <w:r w:rsidR="00314224">
              <w:rPr>
                <w:noProof/>
                <w:webHidden/>
              </w:rPr>
              <w:fldChar w:fldCharType="separate"/>
            </w:r>
            <w:r w:rsidR="00D024BF">
              <w:rPr>
                <w:noProof/>
                <w:webHidden/>
              </w:rPr>
              <w:t>54</w:t>
            </w:r>
            <w:r w:rsidR="00314224">
              <w:rPr>
                <w:noProof/>
                <w:webHidden/>
              </w:rPr>
              <w:fldChar w:fldCharType="end"/>
            </w:r>
          </w:hyperlink>
        </w:p>
        <w:p w14:paraId="280FC0AD" w14:textId="49403D9F" w:rsidR="007172CC" w:rsidRPr="00597DF2" w:rsidRDefault="007172CC" w:rsidP="00A51709">
          <w:pPr>
            <w:rPr>
              <w:b/>
              <w:bCs/>
              <w:noProof/>
            </w:rPr>
            <w:sectPr w:rsidR="007172CC" w:rsidRPr="00597DF2" w:rsidSect="0020276D">
              <w:pgSz w:w="11906" w:h="16838"/>
              <w:pgMar w:top="1440" w:right="1440" w:bottom="1440" w:left="1440" w:header="708" w:footer="708" w:gutter="0"/>
              <w:cols w:space="708"/>
              <w:titlePg/>
              <w:docGrid w:linePitch="360"/>
            </w:sectPr>
          </w:pPr>
          <w:r>
            <w:rPr>
              <w:b/>
              <w:bCs/>
              <w:noProof/>
            </w:rPr>
            <w:fldChar w:fldCharType="end"/>
          </w:r>
        </w:p>
      </w:sdtContent>
    </w:sdt>
    <w:p w14:paraId="08C91E6D" w14:textId="3DE3266B" w:rsidR="00D94957" w:rsidRDefault="00D94957" w:rsidP="000B6171">
      <w:pPr>
        <w:pStyle w:val="Heading2"/>
      </w:pPr>
      <w:bookmarkStart w:id="7" w:name="_Toc49506053"/>
      <w:bookmarkStart w:id="8" w:name="_Toc49506901"/>
      <w:bookmarkStart w:id="9" w:name="_Toc54273023"/>
      <w:bookmarkStart w:id="10" w:name="_Toc54273162"/>
      <w:bookmarkStart w:id="11" w:name="_Toc54273214"/>
      <w:r>
        <w:lastRenderedPageBreak/>
        <w:t>Executive summary</w:t>
      </w:r>
      <w:bookmarkEnd w:id="7"/>
      <w:bookmarkEnd w:id="8"/>
      <w:bookmarkEnd w:id="9"/>
      <w:bookmarkEnd w:id="10"/>
      <w:bookmarkEnd w:id="11"/>
    </w:p>
    <w:p w14:paraId="10BBCCB7" w14:textId="77777777" w:rsidR="002743AF" w:rsidRDefault="002743AF" w:rsidP="002743AF">
      <w:pPr>
        <w:keepLines/>
        <w:spacing w:before="60"/>
      </w:pPr>
      <w:r>
        <w:t>In August 2019, the Australia and New Zealand Ministerial Forum on Food Regulation (the Forum) agreed to a suite of activities to contribute to achieving the objective of Priority two of the Food Regulation System</w:t>
      </w:r>
      <w:r w:rsidRPr="00BD2DC7">
        <w:rPr>
          <w:i/>
        </w:rPr>
        <w:t>- supporting public health objectives to reduce chronic disease related to overweight and obesity.</w:t>
      </w:r>
      <w:r>
        <w:t xml:space="preserve"> </w:t>
      </w:r>
    </w:p>
    <w:p w14:paraId="6948C4DD" w14:textId="154519D2" w:rsidR="002743AF" w:rsidRDefault="002743AF" w:rsidP="002743AF">
      <w:r>
        <w:t>As part of the suite of activities to support achieving the objective of Priority 2, the Forum agreed for the Food Regulation Standing Committee (FRSC) to explore options for setting compositional limits for certain foods and beverages</w:t>
      </w:r>
      <w:r>
        <w:rPr>
          <w:rStyle w:val="FootnoteReference"/>
        </w:rPr>
        <w:footnoteReference w:id="2"/>
      </w:r>
      <w:r>
        <w:t xml:space="preserve">. Compositional limits are one approach to improving the composition of the food supply, in addition to non-regulatory approaches such as voluntary reformulation. </w:t>
      </w:r>
    </w:p>
    <w:p w14:paraId="16FC432A" w14:textId="6558FFEF" w:rsidR="00A97575" w:rsidRDefault="00A97575" w:rsidP="002743AF">
      <w:r>
        <w:t>The work on improving food composition complement</w:t>
      </w:r>
      <w:r w:rsidR="009D084A">
        <w:t>s</w:t>
      </w:r>
      <w:r>
        <w:t xml:space="preserve"> other activities occurring within Priority 2 of the Food Regulation System. For example</w:t>
      </w:r>
      <w:r w:rsidR="002B12EB">
        <w:t>,</w:t>
      </w:r>
      <w:r>
        <w:t xml:space="preserve"> supporting consumers to make informed healthy choices through food labelling and interpretive front-of-pack labelling such as the Health Star Rating (HSR) system. </w:t>
      </w:r>
    </w:p>
    <w:p w14:paraId="3616ADC2" w14:textId="297D6FB9" w:rsidR="00F14189" w:rsidRPr="00F14189" w:rsidRDefault="00F14189" w:rsidP="000F1209">
      <w:pPr>
        <w:outlineLvl w:val="2"/>
        <w:rPr>
          <w:i/>
          <w:u w:val="single"/>
        </w:rPr>
      </w:pPr>
      <w:r w:rsidRPr="00F14189">
        <w:rPr>
          <w:i/>
          <w:u w:val="single"/>
        </w:rPr>
        <w:t xml:space="preserve">Context and </w:t>
      </w:r>
      <w:r>
        <w:rPr>
          <w:i/>
          <w:u w:val="single"/>
        </w:rPr>
        <w:t>understanding the issue</w:t>
      </w:r>
    </w:p>
    <w:p w14:paraId="52A001E4" w14:textId="663FD7E6" w:rsidR="000A2CD8" w:rsidRDefault="000A2CD8" w:rsidP="002743AF">
      <w:r>
        <w:t>Dietary Guidelines in Australia</w:t>
      </w:r>
      <w:r>
        <w:rPr>
          <w:rStyle w:val="FootnoteReference"/>
        </w:rPr>
        <w:footnoteReference w:id="3"/>
      </w:r>
      <w:r>
        <w:t xml:space="preserve"> and New Zealand</w:t>
      </w:r>
      <w:r>
        <w:rPr>
          <w:rStyle w:val="FootnoteReference"/>
        </w:rPr>
        <w:footnoteReference w:id="4"/>
      </w:r>
      <w:r>
        <w:t xml:space="preserve"> provide food-based recommendations for healthy dietary patterns, meeting nutrient requirements, reducing the risk of diet-related chronic conditions, and maintaining a healthy body weight. According to Dietary Guidelines, Australians and New Zealanders should limit consumption of foods containing saturated (and trans) fats, added sugars and salt (sodium).</w:t>
      </w:r>
    </w:p>
    <w:p w14:paraId="3A4A8CC3" w14:textId="42694F8F" w:rsidR="000A2CD8" w:rsidRDefault="000A2CD8" w:rsidP="002743AF">
      <w:r>
        <w:t xml:space="preserve">On average, Australians and New Zealanders are not </w:t>
      </w:r>
      <w:r w:rsidR="009A66FA">
        <w:t xml:space="preserve">following </w:t>
      </w:r>
      <w:r>
        <w:t>this dietary advice with poor dietary patterns and overweight and obesity common in both countries, contributing to non-communicable disease</w:t>
      </w:r>
      <w:r w:rsidR="009A66FA">
        <w:t>s</w:t>
      </w:r>
      <w:r>
        <w:t xml:space="preserve"> and poor health outcomes. </w:t>
      </w:r>
    </w:p>
    <w:p w14:paraId="3AF6A396" w14:textId="4936DDA9" w:rsidR="000A2CD8" w:rsidRDefault="000A2CD8" w:rsidP="000A2CD8">
      <w:r>
        <w:t>The importance of improving dietary intakes and reducing the burden of diet-related non-communicable disease is globally recognised, including by the World Health Organization (WHO) and Food and Agriculture Organization (FAO). Encouraging reformulation (</w:t>
      </w:r>
      <w:proofErr w:type="gramStart"/>
      <w:r>
        <w:t>i.e.</w:t>
      </w:r>
      <w:proofErr w:type="gramEnd"/>
      <w:r>
        <w:t xml:space="preserve"> changing the composition) of foods to reduce the content of saturated fats, trans fats, free/added sugars and salt/sodium is </w:t>
      </w:r>
      <w:r w:rsidDel="0057499E">
        <w:t xml:space="preserve">identified </w:t>
      </w:r>
      <w:r>
        <w:t xml:space="preserve">by the WHO as a </w:t>
      </w:r>
      <w:r w:rsidDel="00A518E5">
        <w:t xml:space="preserve">key </w:t>
      </w:r>
      <w:r>
        <w:t>action to improve nutrition and reduce diet-related risk factors</w:t>
      </w:r>
      <w:r w:rsidR="00C66F84">
        <w:t xml:space="preserve">. The WHO also identifies </w:t>
      </w:r>
      <w:r w:rsidR="001C2609">
        <w:t xml:space="preserve">other actions to improve the food environment such as nutrition labelling, interpretive front-of-pack labelling, dietary education and restricting advertising of unhealthy foods and drinks to children. </w:t>
      </w:r>
    </w:p>
    <w:p w14:paraId="69F269C9" w14:textId="77777777" w:rsidR="000F1209" w:rsidRDefault="00F14189" w:rsidP="000F1209">
      <w:r>
        <w:t xml:space="preserve">Improving the composition of the food supply to reduce nutrients of concern can support public health outcomes and offer advantages over other public health approaches. For example, it is cost effective and can support sustained public health benefits. If widely adopted, this approach can also support equity as the benefits of improved food composition can be accessed by all consumers, not just those who respond to behaviour change interventions (lower educated or disadvantaged groups are less likely to respond), or </w:t>
      </w:r>
      <w:r>
        <w:lastRenderedPageBreak/>
        <w:t>consumers who have the skills to identify healthier products and can afford to purchase them</w:t>
      </w:r>
      <w:r w:rsidR="00F05132">
        <w:t xml:space="preserve"> (</w:t>
      </w:r>
      <w:r w:rsidR="006A3972">
        <w:t xml:space="preserve">noting </w:t>
      </w:r>
      <w:r w:rsidR="00F05132">
        <w:t>the HSR system is also intended to support consumers to identify healthier products)</w:t>
      </w:r>
      <w:r w:rsidR="000F1209">
        <w:t>.</w:t>
      </w:r>
    </w:p>
    <w:p w14:paraId="03D34D3C" w14:textId="60564DC5" w:rsidR="00F14189" w:rsidRPr="00F14189" w:rsidRDefault="00F14189" w:rsidP="000F1209">
      <w:pPr>
        <w:outlineLvl w:val="2"/>
        <w:rPr>
          <w:i/>
          <w:u w:val="single"/>
        </w:rPr>
      </w:pPr>
      <w:r w:rsidRPr="00F14189">
        <w:rPr>
          <w:i/>
          <w:u w:val="single"/>
        </w:rPr>
        <w:t>Current approaches for improving the composition of the food supply</w:t>
      </w:r>
    </w:p>
    <w:p w14:paraId="635D1EB5" w14:textId="028853FB" w:rsidR="002743AF" w:rsidRDefault="002743AF" w:rsidP="000F1209">
      <w:r>
        <w:t>Th</w:t>
      </w:r>
      <w:r w:rsidR="007704C7">
        <w:t>is</w:t>
      </w:r>
      <w:r>
        <w:t xml:space="preserve"> Policy Paper explores actions in place internationally to improve the composition of the food supply. Mandatory compositional limits are in place in some countries, particularly for sodium/salt and trans fats. Non-regulatory actions are also underway in some countries to encourage the food industry to voluntarily reduce </w:t>
      </w:r>
      <w:proofErr w:type="gramStart"/>
      <w:r>
        <w:t>particular nutrients</w:t>
      </w:r>
      <w:proofErr w:type="gramEnd"/>
      <w:r>
        <w:t xml:space="preserve"> in their products. Sodium, sugar and saturated fat are targets of these voluntary actions. </w:t>
      </w:r>
      <w:r w:rsidR="009E1197">
        <w:t xml:space="preserve">Some of these voluntary programs have been successful in reducing selected risk nutrients in the food supply, however, success was influenced by the design and political support for the voluntary programs. </w:t>
      </w:r>
    </w:p>
    <w:p w14:paraId="066FE1B2" w14:textId="45ACDA54" w:rsidR="002743AF" w:rsidRPr="007265FD" w:rsidRDefault="00931A59" w:rsidP="002F1019">
      <w:r>
        <w:rPr>
          <w:rFonts w:ascii="Times New (W1)" w:hAnsi="Times New (W1)" w:cs="Times New (W1)"/>
        </w:rPr>
        <w:t>There are also a</w:t>
      </w:r>
      <w:r w:rsidR="002743AF">
        <w:rPr>
          <w:rFonts w:ascii="Times New (W1)" w:hAnsi="Times New (W1)" w:cs="Times New (W1)"/>
        </w:rPr>
        <w:t>cti</w:t>
      </w:r>
      <w:r>
        <w:rPr>
          <w:rFonts w:ascii="Times New (W1)" w:hAnsi="Times New (W1)" w:cs="Times New (W1)"/>
        </w:rPr>
        <w:t>vities</w:t>
      </w:r>
      <w:r w:rsidR="002743AF">
        <w:rPr>
          <w:rFonts w:ascii="Times New (W1)" w:hAnsi="Times New (W1)" w:cs="Times New (W1)"/>
        </w:rPr>
        <w:t xml:space="preserve"> </w:t>
      </w:r>
      <w:r>
        <w:rPr>
          <w:rFonts w:ascii="Times New (W1)" w:hAnsi="Times New (W1)" w:cs="Times New (W1)"/>
        </w:rPr>
        <w:t>in place</w:t>
      </w:r>
      <w:r w:rsidR="002743AF">
        <w:rPr>
          <w:rFonts w:ascii="Times New (W1)" w:hAnsi="Times New (W1)" w:cs="Times New (W1)"/>
        </w:rPr>
        <w:t xml:space="preserve"> in Australia and New Zealand to improve the composition of the food supply. Through the Australian Healthy Food Partnership and</w:t>
      </w:r>
      <w:r w:rsidR="006D036C">
        <w:rPr>
          <w:rFonts w:ascii="Times New (W1)" w:hAnsi="Times New (W1)" w:cs="Times New (W1)"/>
        </w:rPr>
        <w:t xml:space="preserve"> the New Zealand Heart Foundation Reformulation Program</w:t>
      </w:r>
      <w:r w:rsidR="002743AF">
        <w:rPr>
          <w:rFonts w:ascii="Times New (W1)" w:hAnsi="Times New (W1)" w:cs="Times New (W1)"/>
        </w:rPr>
        <w:t xml:space="preserve"> work is underway to encourage the industry to voluntarily reformulate certain food products to reduce the levels of sugars, saturated fats and sodium. Th</w:t>
      </w:r>
      <w:r w:rsidR="006D036C">
        <w:rPr>
          <w:rFonts w:ascii="Times New (W1)" w:hAnsi="Times New (W1)" w:cs="Times New (W1)"/>
        </w:rPr>
        <w:t>e Australian Healthy Food Part</w:t>
      </w:r>
      <w:r w:rsidR="00411F9F">
        <w:rPr>
          <w:rFonts w:ascii="Times New (W1)" w:hAnsi="Times New (W1)" w:cs="Times New (W1)"/>
        </w:rPr>
        <w:t>nership</w:t>
      </w:r>
      <w:r w:rsidR="002743AF">
        <w:rPr>
          <w:rFonts w:ascii="Times New (W1)" w:hAnsi="Times New (W1)" w:cs="Times New (W1)"/>
        </w:rPr>
        <w:t xml:space="preserve"> work is in its early </w:t>
      </w:r>
      <w:proofErr w:type="gramStart"/>
      <w:r w:rsidR="002743AF">
        <w:rPr>
          <w:rFonts w:ascii="Times New (W1)" w:hAnsi="Times New (W1)" w:cs="Times New (W1)"/>
        </w:rPr>
        <w:t>stages,</w:t>
      </w:r>
      <w:proofErr w:type="gramEnd"/>
      <w:r w:rsidR="002743AF">
        <w:rPr>
          <w:rFonts w:ascii="Times New (W1)" w:hAnsi="Times New (W1)" w:cs="Times New (W1)"/>
        </w:rPr>
        <w:t xml:space="preserve"> however sodium reformulation has previously been achieved through voluntary programs such as the Australian Food and Health Dialogue</w:t>
      </w:r>
      <w:r w:rsidR="006D036C">
        <w:rPr>
          <w:rFonts w:ascii="Times New (W1)" w:hAnsi="Times New (W1)" w:cs="Times New (W1)"/>
        </w:rPr>
        <w:t>. The 2018 New Zealand Food Industry taskforce report and the</w:t>
      </w:r>
      <w:r w:rsidR="00770C98">
        <w:rPr>
          <w:rFonts w:ascii="Times New (W1)" w:hAnsi="Times New (W1)" w:cs="Times New (W1)"/>
        </w:rPr>
        <w:t xml:space="preserve"> New Zealand</w:t>
      </w:r>
      <w:r w:rsidR="006D036C">
        <w:rPr>
          <w:rFonts w:ascii="Times New (W1)" w:hAnsi="Times New (W1)" w:cs="Times New (W1)"/>
        </w:rPr>
        <w:t xml:space="preserve"> </w:t>
      </w:r>
      <w:r w:rsidR="00770C98">
        <w:rPr>
          <w:rFonts w:ascii="Times New (W1)" w:hAnsi="Times New (W1)" w:cs="Times New (W1)"/>
        </w:rPr>
        <w:t>G</w:t>
      </w:r>
      <w:r w:rsidR="006D036C">
        <w:rPr>
          <w:rFonts w:ascii="Times New (W1)" w:hAnsi="Times New (W1)" w:cs="Times New (W1)"/>
        </w:rPr>
        <w:t xml:space="preserve">overnment response to this report identified </w:t>
      </w:r>
      <w:r w:rsidR="00770C98">
        <w:rPr>
          <w:rFonts w:ascii="Times New (W1)" w:hAnsi="Times New (W1)" w:cs="Times New (W1)"/>
        </w:rPr>
        <w:t xml:space="preserve">food </w:t>
      </w:r>
      <w:r w:rsidR="006D036C">
        <w:rPr>
          <w:rFonts w:ascii="Times New (W1)" w:hAnsi="Times New (W1)" w:cs="Times New (W1)"/>
        </w:rPr>
        <w:t>reformulation as a priority area</w:t>
      </w:r>
      <w:r w:rsidR="00770C98">
        <w:rPr>
          <w:rFonts w:ascii="Times New (W1)" w:hAnsi="Times New (W1)" w:cs="Times New (W1)"/>
        </w:rPr>
        <w:t xml:space="preserve"> for further </w:t>
      </w:r>
      <w:r w:rsidR="00770C98" w:rsidRPr="007713A3">
        <w:rPr>
          <w:rFonts w:ascii="Times New (W1)" w:hAnsi="Times New (W1)" w:cs="Times New (W1)"/>
        </w:rPr>
        <w:t xml:space="preserve">work. </w:t>
      </w:r>
      <w:r w:rsidR="007265FD">
        <w:t>The Taskforce has since been disbanded but members have reported voluntarily working to deliver on the Taskforce’s recommendations.</w:t>
      </w:r>
      <w:r w:rsidR="007265FD" w:rsidRPr="00145D68">
        <w:t xml:space="preserve"> </w:t>
      </w:r>
      <w:r w:rsidR="000D0731" w:rsidRPr="007713A3">
        <w:rPr>
          <w:rFonts w:ascii="Times New (W1)" w:hAnsi="Times New (W1)" w:cs="Times New (W1)"/>
        </w:rPr>
        <w:t>However, voluntary reformulation activities can have limitations such as lack of consequences if reformulation targets are not achieved.</w:t>
      </w:r>
      <w:r w:rsidR="000D0731">
        <w:rPr>
          <w:rFonts w:ascii="Times New (W1)" w:hAnsi="Times New (W1)" w:cs="Times New (W1)"/>
        </w:rPr>
        <w:t xml:space="preserve"> </w:t>
      </w:r>
    </w:p>
    <w:p w14:paraId="50536A7F" w14:textId="006BCFB9" w:rsidR="00F05132" w:rsidRDefault="00F05132" w:rsidP="00F14189">
      <w:pPr>
        <w:spacing w:after="0"/>
        <w:rPr>
          <w:rFonts w:ascii="Times New (W1)" w:hAnsi="Times New (W1)" w:cs="Times New (W1)"/>
        </w:rPr>
      </w:pPr>
      <w:r>
        <w:rPr>
          <w:rFonts w:ascii="Times New (W1)" w:hAnsi="Times New (W1)" w:cs="Times New (W1)"/>
        </w:rPr>
        <w:t>In relation to sugars</w:t>
      </w:r>
      <w:r w:rsidR="006A3972">
        <w:rPr>
          <w:rFonts w:ascii="Times New (W1)" w:hAnsi="Times New (W1)" w:cs="Times New (W1)"/>
        </w:rPr>
        <w:t>,</w:t>
      </w:r>
      <w:r>
        <w:rPr>
          <w:rFonts w:ascii="Times New (W1)" w:hAnsi="Times New (W1)" w:cs="Times New (W1)"/>
        </w:rPr>
        <w:t xml:space="preserve"> there is work underway</w:t>
      </w:r>
      <w:r w:rsidR="006A3972">
        <w:rPr>
          <w:rFonts w:ascii="Times New (W1)" w:hAnsi="Times New (W1)" w:cs="Times New (W1)"/>
        </w:rPr>
        <w:t xml:space="preserve"> by Food Standards Australia New Zealand (FSANZ)</w:t>
      </w:r>
      <w:r>
        <w:rPr>
          <w:rFonts w:ascii="Times New (W1)" w:hAnsi="Times New (W1)" w:cs="Times New (W1)"/>
        </w:rPr>
        <w:t xml:space="preserve"> to consider changing the way added sugars are declared on a food label. If this work results in a change to sugars labelling it is possible that this may drive the food industry to </w:t>
      </w:r>
      <w:r w:rsidR="0005048F">
        <w:rPr>
          <w:rFonts w:ascii="Times New (W1)" w:hAnsi="Times New (W1)" w:cs="Times New (W1)"/>
        </w:rPr>
        <w:t>reduce</w:t>
      </w:r>
      <w:r>
        <w:rPr>
          <w:rFonts w:ascii="Times New (W1)" w:hAnsi="Times New (W1)" w:cs="Times New (W1)"/>
        </w:rPr>
        <w:t xml:space="preserve"> the added sugar </w:t>
      </w:r>
      <w:r w:rsidR="0005048F">
        <w:rPr>
          <w:rFonts w:ascii="Times New (W1)" w:hAnsi="Times New (W1)" w:cs="Times New (W1)"/>
        </w:rPr>
        <w:t>content</w:t>
      </w:r>
      <w:r>
        <w:rPr>
          <w:rFonts w:ascii="Times New (W1)" w:hAnsi="Times New (W1)" w:cs="Times New (W1)"/>
        </w:rPr>
        <w:t xml:space="preserve"> of their products </w:t>
      </w:r>
      <w:proofErr w:type="gramStart"/>
      <w:r>
        <w:rPr>
          <w:rFonts w:ascii="Times New (W1)" w:hAnsi="Times New (W1)" w:cs="Times New (W1)"/>
        </w:rPr>
        <w:t>in order to</w:t>
      </w:r>
      <w:proofErr w:type="gramEnd"/>
      <w:r>
        <w:rPr>
          <w:rFonts w:ascii="Times New (W1)" w:hAnsi="Times New (W1)" w:cs="Times New (W1)"/>
        </w:rPr>
        <w:t xml:space="preserve"> make more favourable added sugar declarations. However, in a recent Policy Guideline consultation some food industry members reported that food labelling is not necessarily a driver for them to reformulate their products. </w:t>
      </w:r>
    </w:p>
    <w:p w14:paraId="1C57B0EA" w14:textId="42E05FFC" w:rsidR="00F14189" w:rsidRDefault="00F14189" w:rsidP="000F1209">
      <w:pPr>
        <w:outlineLvl w:val="2"/>
        <w:rPr>
          <w:i/>
          <w:u w:val="single"/>
        </w:rPr>
      </w:pPr>
      <w:r w:rsidRPr="00F14189">
        <w:rPr>
          <w:i/>
          <w:u w:val="single"/>
        </w:rPr>
        <w:t>Food and nutrient intakes in Australia and New Zealand, identification of where reformulation actions are already occurring, and consideration of potential gaps for activities to improve food composition.</w:t>
      </w:r>
    </w:p>
    <w:p w14:paraId="280DD25C" w14:textId="6F808C39" w:rsidR="00BC0431" w:rsidRDefault="00F14189" w:rsidP="002F1019">
      <w:r>
        <w:rPr>
          <w:rFonts w:ascii="Times New (W1)" w:hAnsi="Times New (W1)" w:cs="Times New (W1)"/>
        </w:rPr>
        <w:t>This Policy Paper reports that, on average, Australians and New Zealanders are exceeding recommended limits for intakes of sugars, saturated fats and sodium. In Australia, some population groups, particularly the more vulnerable groups such as low those from socio-economic background, are also exceeding recommended limits for consumption of trans fat (comparable data for New Zealand are not available). T</w:t>
      </w:r>
      <w:r w:rsidRPr="00927EEF">
        <w:rPr>
          <w:rFonts w:ascii="Times New (W1)" w:hAnsi="Times New (W1)" w:cs="Times New (W1)"/>
        </w:rPr>
        <w:t xml:space="preserve">he </w:t>
      </w:r>
      <w:r>
        <w:rPr>
          <w:rFonts w:ascii="Times New (W1)" w:hAnsi="Times New (W1)" w:cs="Times New (W1)"/>
        </w:rPr>
        <w:t>Policy paper identif</w:t>
      </w:r>
      <w:r w:rsidR="005B0E06">
        <w:rPr>
          <w:rFonts w:ascii="Times New (W1)" w:hAnsi="Times New (W1)" w:cs="Times New (W1)"/>
        </w:rPr>
        <w:t>ies</w:t>
      </w:r>
      <w:r>
        <w:rPr>
          <w:rFonts w:ascii="Times New (W1)" w:hAnsi="Times New (W1)" w:cs="Times New (W1)"/>
        </w:rPr>
        <w:t xml:space="preserve"> </w:t>
      </w:r>
      <w:r w:rsidRPr="00927EEF">
        <w:rPr>
          <w:rFonts w:ascii="Times New (W1)" w:hAnsi="Times New (W1)" w:cs="Times New (W1)"/>
        </w:rPr>
        <w:t>major sources of saturated fats, trans fats, sodium and sugars in Australian and New Zealanders’ diets</w:t>
      </w:r>
      <w:r w:rsidR="00BC0431">
        <w:rPr>
          <w:rFonts w:ascii="Times New (W1)" w:hAnsi="Times New (W1)" w:cs="Times New (W1)"/>
        </w:rPr>
        <w:t xml:space="preserve"> and </w:t>
      </w:r>
      <w:r w:rsidR="00A72DD5">
        <w:rPr>
          <w:rFonts w:ascii="Times New (W1)" w:hAnsi="Times New (W1)" w:cs="Times New (W1)"/>
        </w:rPr>
        <w:t xml:space="preserve">then </w:t>
      </w:r>
      <w:r w:rsidR="00BC0431">
        <w:rPr>
          <w:rFonts w:ascii="Times New (W1)" w:hAnsi="Times New (W1)" w:cs="Times New (W1)"/>
        </w:rPr>
        <w:t>assess</w:t>
      </w:r>
      <w:r w:rsidR="005B0E06">
        <w:rPr>
          <w:rFonts w:ascii="Times New (W1)" w:hAnsi="Times New (W1)" w:cs="Times New (W1)"/>
        </w:rPr>
        <w:t>es</w:t>
      </w:r>
      <w:r w:rsidR="00BC0431">
        <w:rPr>
          <w:rFonts w:ascii="Times New (W1)" w:hAnsi="Times New (W1)" w:cs="Times New (W1)"/>
        </w:rPr>
        <w:t xml:space="preserve"> whether actions to improve food composition is occurring in those food categories. </w:t>
      </w:r>
    </w:p>
    <w:p w14:paraId="47F872B4" w14:textId="605D116A" w:rsidR="00624E63" w:rsidRDefault="00BC0431" w:rsidP="00624E63">
      <w:pPr>
        <w:pStyle w:val="ISCnumbered"/>
        <w:numPr>
          <w:ilvl w:val="0"/>
          <w:numId w:val="0"/>
        </w:numPr>
        <w:tabs>
          <w:tab w:val="clear" w:pos="426"/>
          <w:tab w:val="clear" w:pos="709"/>
          <w:tab w:val="left" w:pos="567"/>
        </w:tabs>
        <w:spacing w:after="0"/>
        <w:rPr>
          <w:rFonts w:ascii="Times New (W1)" w:hAnsi="Times New (W1)" w:cs="Times New (W1)"/>
        </w:rPr>
      </w:pPr>
      <w:r>
        <w:rPr>
          <w:rFonts w:ascii="Times New (W1)" w:hAnsi="Times New (W1)" w:cs="Times New (W1)"/>
        </w:rPr>
        <w:t xml:space="preserve">This </w:t>
      </w:r>
      <w:r w:rsidR="00624E63">
        <w:rPr>
          <w:rFonts w:ascii="Times New (W1)" w:hAnsi="Times New (W1)" w:cs="Times New (W1)"/>
        </w:rPr>
        <w:t>Policy Paper identif</w:t>
      </w:r>
      <w:r>
        <w:rPr>
          <w:rFonts w:ascii="Times New (W1)" w:hAnsi="Times New (W1)" w:cs="Times New (W1)"/>
        </w:rPr>
        <w:t>ies</w:t>
      </w:r>
      <w:r w:rsidR="00624E63">
        <w:rPr>
          <w:rFonts w:ascii="Times New (W1)" w:hAnsi="Times New (W1)" w:cs="Times New (W1)"/>
        </w:rPr>
        <w:t xml:space="preserve"> gaps in current</w:t>
      </w:r>
      <w:r w:rsidR="009D084A">
        <w:rPr>
          <w:rFonts w:ascii="Times New (W1)" w:hAnsi="Times New (W1)" w:cs="Times New (W1)"/>
        </w:rPr>
        <w:t xml:space="preserve"> voluntary</w:t>
      </w:r>
      <w:r w:rsidR="00624E63">
        <w:rPr>
          <w:rFonts w:ascii="Times New (W1)" w:hAnsi="Times New (W1)" w:cs="Times New (W1)"/>
        </w:rPr>
        <w:t xml:space="preserve"> actions in Australia and New Zealand to improve the composition of the food supply:</w:t>
      </w:r>
    </w:p>
    <w:p w14:paraId="21552F38" w14:textId="56C9E012" w:rsidR="00624E63" w:rsidRPr="0007172E" w:rsidRDefault="00624E63" w:rsidP="00624E63">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 xml:space="preserve">There are no organised voluntary reformulation activities underway in the fast food/quick service sector despite (pre COVID-19) trends for increasing expenditure in Australian and New Zealand on foods at restaurants and ready-to-eat items. Some products in these outlets have significantly high levels of risk nutrients, </w:t>
      </w:r>
      <w:r w:rsidR="00BC0431">
        <w:rPr>
          <w:rFonts w:ascii="Times New (W1)" w:hAnsi="Times New (W1)" w:cs="Times New (W1)"/>
        </w:rPr>
        <w:t xml:space="preserve">and there is considerable variability </w:t>
      </w:r>
      <w:r w:rsidR="00BC0431">
        <w:rPr>
          <w:rFonts w:ascii="Times New (W1)" w:hAnsi="Times New (W1)" w:cs="Times New (W1)"/>
        </w:rPr>
        <w:lastRenderedPageBreak/>
        <w:t>in levels of risk nutrients within product categories</w:t>
      </w:r>
      <w:r w:rsidRPr="0007172E">
        <w:t xml:space="preserve">. </w:t>
      </w:r>
      <w:r w:rsidR="0039624C">
        <w:t>I</w:t>
      </w:r>
      <w:r w:rsidRPr="0007172E">
        <w:t>ndustry-led action to improve food composition in this sector</w:t>
      </w:r>
      <w:r w:rsidR="0039624C">
        <w:t xml:space="preserve"> is limited</w:t>
      </w:r>
      <w:r w:rsidRPr="0007172E">
        <w:t xml:space="preserve">. </w:t>
      </w:r>
    </w:p>
    <w:p w14:paraId="5C014A4A" w14:textId="555EB606" w:rsidR="00624E63" w:rsidRPr="0007172E" w:rsidRDefault="00624E63" w:rsidP="00624E63">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There have been long running industry-led voluntary reformulation efforts to reduce the level of trans fats in the food supply. This has largely been successful</w:t>
      </w:r>
      <w:r w:rsidR="00D35DED">
        <w:rPr>
          <w:rFonts w:ascii="Times New (W1)" w:hAnsi="Times New (W1)" w:cs="Times New (W1)"/>
        </w:rPr>
        <w:t>,</w:t>
      </w:r>
      <w:r w:rsidRPr="0007172E">
        <w:rPr>
          <w:rFonts w:ascii="Times New (W1)" w:hAnsi="Times New (W1)" w:cs="Times New (W1)"/>
        </w:rPr>
        <w:t xml:space="preserve"> however</w:t>
      </w:r>
      <w:r w:rsidR="00D35DED">
        <w:rPr>
          <w:rFonts w:ascii="Times New (W1)" w:hAnsi="Times New (W1)" w:cs="Times New (W1)"/>
        </w:rPr>
        <w:t>,</w:t>
      </w:r>
      <w:r w:rsidRPr="0007172E">
        <w:rPr>
          <w:rFonts w:ascii="Times New (W1)" w:hAnsi="Times New (W1)" w:cs="Times New (W1)"/>
        </w:rPr>
        <w:t xml:space="preserve"> vulnerable population groups in Australia continue to exceed recommended l</w:t>
      </w:r>
      <w:r w:rsidR="004B0842">
        <w:rPr>
          <w:rFonts w:ascii="Times New (W1)" w:hAnsi="Times New (W1)" w:cs="Times New (W1)"/>
        </w:rPr>
        <w:t>imits for intake of trans fats.</w:t>
      </w:r>
    </w:p>
    <w:p w14:paraId="388BD5A5" w14:textId="77777777" w:rsidR="00624E63" w:rsidRPr="0007172E" w:rsidRDefault="00624E63" w:rsidP="00624E63">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There are voluntary efforts in place to reduce the sugar content of beverages such as soft drinks. However, industry is largely focussed on reducing average sugar content across the wider beverage category by producing more non-sugar beverages (</w:t>
      </w:r>
      <w:proofErr w:type="gramStart"/>
      <w:r w:rsidRPr="0007172E">
        <w:rPr>
          <w:rFonts w:ascii="Times New (W1)" w:hAnsi="Times New (W1)" w:cs="Times New (W1)"/>
        </w:rPr>
        <w:t>e.g.</w:t>
      </w:r>
      <w:proofErr w:type="gramEnd"/>
      <w:r w:rsidRPr="0007172E">
        <w:rPr>
          <w:rFonts w:ascii="Times New (W1)" w:hAnsi="Times New (W1)" w:cs="Times New (W1)"/>
        </w:rPr>
        <w:t xml:space="preserve"> water or artificially sweetened diet drinks) rather than reducing the sugar content of traditional ‘full sugar’ products. Despite reductions in consumption of sugary drinks, traditional ‘full sugar’ products are still more popular than diet drinks. International examples demonstrate that the sugar content of ‘full sugar’ beverages can be lower. </w:t>
      </w:r>
    </w:p>
    <w:p w14:paraId="1E80F137" w14:textId="542705BA" w:rsidR="00624E63" w:rsidRPr="00BC0431" w:rsidRDefault="00624E63" w:rsidP="00BC0431">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 xml:space="preserve">Meat-alternatives are a food category that is growing in popularity. Sodium levels in some of these products are high and there is large variation in sodium content across the category. Limited industry led reformulation has been observed. </w:t>
      </w:r>
    </w:p>
    <w:p w14:paraId="42025A5A" w14:textId="449F3DBC" w:rsidR="00F14189" w:rsidRPr="00F14189" w:rsidRDefault="00F14189" w:rsidP="000F1209">
      <w:pPr>
        <w:pStyle w:val="ISCnumbered"/>
        <w:numPr>
          <w:ilvl w:val="0"/>
          <w:numId w:val="0"/>
        </w:numPr>
        <w:tabs>
          <w:tab w:val="clear" w:pos="426"/>
          <w:tab w:val="clear" w:pos="709"/>
          <w:tab w:val="left" w:pos="567"/>
        </w:tabs>
        <w:spacing w:after="0"/>
        <w:outlineLvl w:val="2"/>
        <w:rPr>
          <w:rFonts w:ascii="Times New (W1)" w:hAnsi="Times New (W1)" w:cs="Times New (W1)"/>
          <w:i/>
          <w:u w:val="single"/>
        </w:rPr>
      </w:pPr>
      <w:r w:rsidRPr="00F14189">
        <w:rPr>
          <w:rFonts w:ascii="Times New (W1)" w:hAnsi="Times New (W1)" w:cs="Times New (W1)"/>
          <w:i/>
          <w:u w:val="single"/>
        </w:rPr>
        <w:t>Recommendations and next steps</w:t>
      </w:r>
    </w:p>
    <w:p w14:paraId="72A86269" w14:textId="77777777" w:rsidR="002743AF" w:rsidRDefault="002743AF" w:rsidP="00BC0431">
      <w:pPr>
        <w:pStyle w:val="ISCnumbered"/>
        <w:numPr>
          <w:ilvl w:val="0"/>
          <w:numId w:val="0"/>
        </w:numPr>
        <w:tabs>
          <w:tab w:val="clear" w:pos="426"/>
          <w:tab w:val="clear" w:pos="709"/>
          <w:tab w:val="left" w:pos="567"/>
        </w:tabs>
        <w:spacing w:after="0"/>
        <w:rPr>
          <w:rFonts w:ascii="Times New (W1)" w:hAnsi="Times New (W1)" w:cs="Times New (W1)"/>
        </w:rPr>
      </w:pPr>
      <w:proofErr w:type="gramStart"/>
      <w:r>
        <w:rPr>
          <w:rFonts w:ascii="Times New (W1)" w:hAnsi="Times New (W1)" w:cs="Times New (W1)"/>
        </w:rPr>
        <w:t>In light of</w:t>
      </w:r>
      <w:proofErr w:type="gramEnd"/>
      <w:r>
        <w:rPr>
          <w:rFonts w:ascii="Times New (W1)" w:hAnsi="Times New (W1)" w:cs="Times New (W1)"/>
        </w:rPr>
        <w:t xml:space="preserve"> the above, the Policy Paper recommends:</w:t>
      </w:r>
    </w:p>
    <w:p w14:paraId="40D456CC" w14:textId="5B0B5754" w:rsidR="002743AF" w:rsidRDefault="002743AF" w:rsidP="00BC0431">
      <w:pPr>
        <w:pStyle w:val="ISCnumbered"/>
        <w:numPr>
          <w:ilvl w:val="0"/>
          <w:numId w:val="13"/>
        </w:numPr>
        <w:tabs>
          <w:tab w:val="clear" w:pos="426"/>
          <w:tab w:val="clear" w:pos="709"/>
          <w:tab w:val="left" w:pos="567"/>
        </w:tabs>
        <w:spacing w:after="0"/>
        <w:rPr>
          <w:rFonts w:ascii="Times New (W1)" w:hAnsi="Times New (W1)" w:cs="Times New (W1)"/>
        </w:rPr>
      </w:pPr>
      <w:r>
        <w:rPr>
          <w:rFonts w:ascii="Times New (W1)" w:hAnsi="Times New (W1)" w:cs="Times New (W1)"/>
        </w:rPr>
        <w:t xml:space="preserve">Time be allowed for </w:t>
      </w:r>
      <w:r w:rsidRPr="0007172E">
        <w:rPr>
          <w:rFonts w:ascii="Times New (W1)" w:hAnsi="Times New (W1)" w:cs="Times New (W1)"/>
        </w:rPr>
        <w:t xml:space="preserve">the food industry to demonstrate achievements against voluntary reformulation targets </w:t>
      </w:r>
      <w:r w:rsidR="00931A59">
        <w:rPr>
          <w:rFonts w:ascii="Times New (W1)" w:hAnsi="Times New (W1)" w:cs="Times New (W1)"/>
        </w:rPr>
        <w:t xml:space="preserve">for sodium, saturated fat and sugar (in foods) </w:t>
      </w:r>
      <w:r w:rsidRPr="0007172E">
        <w:rPr>
          <w:rFonts w:ascii="Times New (W1)" w:hAnsi="Times New (W1)" w:cs="Times New (W1)"/>
        </w:rPr>
        <w:t xml:space="preserve">before </w:t>
      </w:r>
      <w:r>
        <w:rPr>
          <w:rFonts w:ascii="Times New (W1)" w:hAnsi="Times New (W1)" w:cs="Times New (W1)"/>
        </w:rPr>
        <w:t xml:space="preserve">regulatory options are </w:t>
      </w:r>
      <w:r w:rsidRPr="007713A3">
        <w:rPr>
          <w:rFonts w:ascii="Times New (W1)" w:hAnsi="Times New (W1)" w:cs="Times New (W1)"/>
        </w:rPr>
        <w:t>pursued.</w:t>
      </w:r>
      <w:r w:rsidR="000D0731" w:rsidRPr="007713A3">
        <w:rPr>
          <w:rFonts w:ascii="Times New (W1)" w:hAnsi="Times New (W1)" w:cs="Times New (W1)"/>
        </w:rPr>
        <w:t xml:space="preserve"> </w:t>
      </w:r>
      <w:r w:rsidR="000D0731" w:rsidRPr="007713A3">
        <w:rPr>
          <w:rStyle w:val="Heading4Char"/>
          <w:rFonts w:ascii="Times New Roman" w:eastAsiaTheme="minorEastAsia" w:hAnsi="Times New Roman" w:cs="Times New Roman"/>
          <w:i w:val="0"/>
          <w:iCs w:val="0"/>
          <w:color w:val="auto"/>
        </w:rPr>
        <w:t>It is recommended that progress against reformulation targets be assessed in 2 years to determine whether industry is on track to achieve the targets</w:t>
      </w:r>
      <w:r w:rsidR="0025050F" w:rsidRPr="007713A3">
        <w:rPr>
          <w:rStyle w:val="Heading4Char"/>
          <w:rFonts w:ascii="Times New Roman" w:eastAsiaTheme="minorEastAsia" w:hAnsi="Times New Roman" w:cs="Times New Roman"/>
          <w:i w:val="0"/>
          <w:iCs w:val="0"/>
          <w:color w:val="auto"/>
        </w:rPr>
        <w:t>,</w:t>
      </w:r>
      <w:r w:rsidR="000D0731" w:rsidRPr="007713A3">
        <w:rPr>
          <w:rStyle w:val="Heading4Char"/>
          <w:rFonts w:ascii="Times New Roman" w:eastAsiaTheme="minorEastAsia" w:hAnsi="Times New Roman" w:cs="Times New Roman"/>
          <w:i w:val="0"/>
          <w:iCs w:val="0"/>
          <w:color w:val="auto"/>
        </w:rPr>
        <w:t xml:space="preserve"> or whether there are </w:t>
      </w:r>
      <w:proofErr w:type="gramStart"/>
      <w:r w:rsidR="000D0731" w:rsidRPr="007713A3">
        <w:rPr>
          <w:rStyle w:val="Heading4Char"/>
          <w:rFonts w:ascii="Times New Roman" w:eastAsiaTheme="minorEastAsia" w:hAnsi="Times New Roman" w:cs="Times New Roman"/>
          <w:i w:val="0"/>
          <w:iCs w:val="0"/>
          <w:color w:val="auto"/>
        </w:rPr>
        <w:t>particular product</w:t>
      </w:r>
      <w:proofErr w:type="gramEnd"/>
      <w:r w:rsidR="000D0731" w:rsidRPr="007713A3">
        <w:rPr>
          <w:rStyle w:val="Heading4Char"/>
          <w:rFonts w:ascii="Times New Roman" w:eastAsiaTheme="minorEastAsia" w:hAnsi="Times New Roman" w:cs="Times New Roman"/>
          <w:i w:val="0"/>
          <w:iCs w:val="0"/>
          <w:color w:val="auto"/>
        </w:rPr>
        <w:t xml:space="preserve"> categories </w:t>
      </w:r>
      <w:r w:rsidR="002F2B1B" w:rsidRPr="007713A3">
        <w:rPr>
          <w:rStyle w:val="Heading4Char"/>
          <w:rFonts w:ascii="Times New Roman" w:eastAsiaTheme="minorEastAsia" w:hAnsi="Times New Roman" w:cs="Times New Roman"/>
          <w:i w:val="0"/>
          <w:iCs w:val="0"/>
          <w:color w:val="auto"/>
        </w:rPr>
        <w:t>where the industry’s response is insufficient or ineffective</w:t>
      </w:r>
      <w:r w:rsidR="000D0731" w:rsidRPr="007713A3">
        <w:rPr>
          <w:rStyle w:val="Heading4Char"/>
          <w:rFonts w:ascii="Times New Roman" w:eastAsiaTheme="minorEastAsia" w:hAnsi="Times New Roman" w:cs="Times New Roman"/>
          <w:i w:val="0"/>
          <w:iCs w:val="0"/>
          <w:color w:val="auto"/>
        </w:rPr>
        <w:t>.</w:t>
      </w:r>
    </w:p>
    <w:p w14:paraId="2D12A54E" w14:textId="0A28BADF" w:rsidR="002743AF" w:rsidRDefault="002743AF" w:rsidP="00BC0431">
      <w:pPr>
        <w:pStyle w:val="ISCnumbered"/>
        <w:numPr>
          <w:ilvl w:val="0"/>
          <w:numId w:val="13"/>
        </w:numPr>
        <w:tabs>
          <w:tab w:val="clear" w:pos="426"/>
          <w:tab w:val="clear" w:pos="709"/>
          <w:tab w:val="left" w:pos="567"/>
        </w:tabs>
        <w:spacing w:after="0"/>
        <w:rPr>
          <w:rFonts w:ascii="Times New (W1)" w:hAnsi="Times New (W1)" w:cs="Times New (W1)"/>
        </w:rPr>
      </w:pPr>
      <w:r>
        <w:rPr>
          <w:rFonts w:ascii="Times New (W1)" w:hAnsi="Times New (W1)" w:cs="Times New (W1)"/>
        </w:rPr>
        <w:t>Additional voluntary reformulation targets be established for the quick service/fast food sector</w:t>
      </w:r>
      <w:r w:rsidR="00F05132">
        <w:rPr>
          <w:rFonts w:ascii="Times New (W1)" w:hAnsi="Times New (W1)" w:cs="Times New (W1)"/>
        </w:rPr>
        <w:t xml:space="preserve"> (sodium, saturated fat and sugar as appropriate)</w:t>
      </w:r>
      <w:r>
        <w:rPr>
          <w:rFonts w:ascii="Times New (W1)" w:hAnsi="Times New (W1)" w:cs="Times New (W1)"/>
        </w:rPr>
        <w:t>, and for meat alternatives</w:t>
      </w:r>
      <w:r w:rsidR="00F05132">
        <w:rPr>
          <w:rFonts w:ascii="Times New (W1)" w:hAnsi="Times New (W1)" w:cs="Times New (W1)"/>
        </w:rPr>
        <w:t xml:space="preserve"> (sodium)</w:t>
      </w:r>
      <w:r>
        <w:rPr>
          <w:rFonts w:ascii="Times New (W1)" w:hAnsi="Times New (W1)" w:cs="Times New (W1)"/>
        </w:rPr>
        <w:t xml:space="preserve">. If voluntary reformulation is not </w:t>
      </w:r>
      <w:proofErr w:type="gramStart"/>
      <w:r>
        <w:rPr>
          <w:rFonts w:ascii="Times New (W1)" w:hAnsi="Times New (W1)" w:cs="Times New (W1)"/>
        </w:rPr>
        <w:t>effective</w:t>
      </w:r>
      <w:proofErr w:type="gramEnd"/>
      <w:r>
        <w:rPr>
          <w:rFonts w:ascii="Times New (W1)" w:hAnsi="Times New (W1)" w:cs="Times New (W1)"/>
        </w:rPr>
        <w:t xml:space="preserve"> then further regulatory options could be considered. </w:t>
      </w:r>
    </w:p>
    <w:p w14:paraId="1B504703" w14:textId="59E67A93" w:rsidR="00A51709" w:rsidRDefault="002743AF" w:rsidP="002F1019">
      <w:pPr>
        <w:pStyle w:val="ISCnumbered"/>
        <w:numPr>
          <w:ilvl w:val="0"/>
          <w:numId w:val="13"/>
        </w:numPr>
        <w:tabs>
          <w:tab w:val="clear" w:pos="426"/>
          <w:tab w:val="clear" w:pos="709"/>
          <w:tab w:val="left" w:pos="567"/>
        </w:tabs>
        <w:spacing w:after="0"/>
        <w:sectPr w:rsidR="00A51709" w:rsidSect="007172CC">
          <w:footerReference w:type="default" r:id="rId11"/>
          <w:pgSz w:w="11906" w:h="16838"/>
          <w:pgMar w:top="1440" w:right="1440" w:bottom="1440" w:left="1440" w:header="708" w:footer="708" w:gutter="0"/>
          <w:pgNumType w:start="1"/>
          <w:cols w:space="708"/>
          <w:docGrid w:linePitch="360"/>
        </w:sectPr>
      </w:pPr>
      <w:r>
        <w:rPr>
          <w:rFonts w:ascii="Times New (W1)" w:hAnsi="Times New (W1)" w:cs="Times New (W1)"/>
        </w:rPr>
        <w:t xml:space="preserve">Given the </w:t>
      </w:r>
      <w:r w:rsidR="005C7838">
        <w:rPr>
          <w:rFonts w:ascii="Times New (W1)" w:hAnsi="Times New (W1)" w:cs="Times New (W1)"/>
        </w:rPr>
        <w:t>outlined</w:t>
      </w:r>
      <w:r w:rsidR="0035047E">
        <w:rPr>
          <w:rFonts w:ascii="Times New (W1)" w:hAnsi="Times New (W1)" w:cs="Times New (W1)"/>
        </w:rPr>
        <w:t xml:space="preserve"> </w:t>
      </w:r>
      <w:r>
        <w:rPr>
          <w:rFonts w:ascii="Times New (W1)" w:hAnsi="Times New (W1)" w:cs="Times New (W1)"/>
        </w:rPr>
        <w:t xml:space="preserve">shortfalls in voluntary reformulation efforts for trans fats and sugary drinks, </w:t>
      </w:r>
      <w:r w:rsidR="004B1E19">
        <w:rPr>
          <w:rFonts w:ascii="Times New (W1)" w:hAnsi="Times New (W1)" w:cs="Times New (W1)"/>
        </w:rPr>
        <w:t xml:space="preserve">additional </w:t>
      </w:r>
      <w:r>
        <w:rPr>
          <w:rFonts w:ascii="Times New (W1)" w:hAnsi="Times New (W1)" w:cs="Times New (W1)"/>
        </w:rPr>
        <w:t xml:space="preserve">options should be explored to improve the composition of the food supply for these nutrients/food categories by progressing work through Food Regulation Policy Framework. </w:t>
      </w:r>
      <w:r w:rsidR="00BC0431">
        <w:rPr>
          <w:rFonts w:ascii="Times New (W1)" w:hAnsi="Times New (W1)" w:cs="Times New (W1)"/>
        </w:rPr>
        <w:t>These would be progressed as two separate pieces of work</w:t>
      </w:r>
      <w:r w:rsidR="009D084A">
        <w:rPr>
          <w:rFonts w:ascii="Times New (W1)" w:hAnsi="Times New (W1)" w:cs="Times New (W1)"/>
        </w:rPr>
        <w:t xml:space="preserve"> and used as a case study for informing the development of a </w:t>
      </w:r>
      <w:r w:rsidR="00484D36">
        <w:rPr>
          <w:rFonts w:ascii="Times New (W1)" w:hAnsi="Times New (W1)" w:cs="Times New (W1)"/>
        </w:rPr>
        <w:t xml:space="preserve">systems approach </w:t>
      </w:r>
      <w:r w:rsidR="0096200E" w:rsidRPr="0052296C">
        <w:rPr>
          <w:rFonts w:ascii="Times New (W1)" w:hAnsi="Times New (W1)" w:cs="Times New (W1)"/>
        </w:rPr>
        <w:t xml:space="preserve">which takes a </w:t>
      </w:r>
      <w:r w:rsidR="009D084A" w:rsidRPr="0052296C">
        <w:rPr>
          <w:rFonts w:ascii="Times New (W1)" w:hAnsi="Times New (W1)" w:cs="Times New (W1)"/>
        </w:rPr>
        <w:t>strategic view</w:t>
      </w:r>
      <w:r w:rsidR="0052296C" w:rsidRPr="0052296C">
        <w:rPr>
          <w:rFonts w:ascii="Times New (W1)" w:hAnsi="Times New (W1)" w:cs="Times New (W1)"/>
        </w:rPr>
        <w:t xml:space="preserve"> </w:t>
      </w:r>
      <w:r w:rsidR="0096200E" w:rsidRPr="0052296C">
        <w:rPr>
          <w:rFonts w:ascii="Times New (W1)" w:hAnsi="Times New (W1)" w:cs="Times New (W1)"/>
        </w:rPr>
        <w:t xml:space="preserve">on policies and procedures </w:t>
      </w:r>
      <w:r w:rsidR="009D084A" w:rsidRPr="0052296C">
        <w:rPr>
          <w:rFonts w:ascii="Times New (W1)" w:hAnsi="Times New (W1)" w:cs="Times New (W1)"/>
        </w:rPr>
        <w:t>in relation to food composition in Australia and New Zealand, and the regulatory and non-regulatory</w:t>
      </w:r>
      <w:r w:rsidR="009D084A">
        <w:rPr>
          <w:rFonts w:ascii="Times New (W1)" w:hAnsi="Times New (W1)" w:cs="Times New (W1)"/>
        </w:rPr>
        <w:t xml:space="preserve"> options available to improve composition when voluntary measures do not sufficiently support public health outcomes.</w:t>
      </w:r>
      <w:r w:rsidR="00343B8A">
        <w:br w:type="page"/>
      </w:r>
    </w:p>
    <w:p w14:paraId="4B72F2B3" w14:textId="31751DED" w:rsidR="002C50DE" w:rsidRDefault="002C50DE" w:rsidP="00F505A1">
      <w:pPr>
        <w:pStyle w:val="Heading1"/>
        <w:jc w:val="center"/>
      </w:pPr>
      <w:bookmarkStart w:id="12" w:name="_Toc49506054"/>
      <w:bookmarkStart w:id="13" w:name="_Toc49506902"/>
      <w:bookmarkStart w:id="14" w:name="_Toc49513252"/>
      <w:bookmarkStart w:id="15" w:name="_Toc49513390"/>
      <w:bookmarkStart w:id="16" w:name="_Toc50719802"/>
      <w:bookmarkStart w:id="17" w:name="_Toc54273024"/>
      <w:bookmarkStart w:id="18" w:name="_Toc54273163"/>
      <w:bookmarkStart w:id="19" w:name="_Toc54273215"/>
      <w:r>
        <w:lastRenderedPageBreak/>
        <w:t xml:space="preserve">POLICY PAPER: </w:t>
      </w:r>
      <w:r w:rsidR="00FA6C98">
        <w:t>EXPLORING OPTIONS FOR</w:t>
      </w:r>
      <w:r>
        <w:t xml:space="preserve"> </w:t>
      </w:r>
      <w:r w:rsidR="00394A92">
        <w:t>IMPROVING THE COMPOSITION OF THE FOOD SUPPLY</w:t>
      </w:r>
      <w:bookmarkEnd w:id="12"/>
      <w:bookmarkEnd w:id="13"/>
      <w:bookmarkEnd w:id="14"/>
      <w:bookmarkEnd w:id="15"/>
      <w:bookmarkEnd w:id="16"/>
      <w:bookmarkEnd w:id="17"/>
      <w:bookmarkEnd w:id="18"/>
      <w:bookmarkEnd w:id="19"/>
    </w:p>
    <w:p w14:paraId="06AD15EF" w14:textId="77777777" w:rsidR="002C50DE" w:rsidRPr="004D28D0" w:rsidRDefault="002C50DE" w:rsidP="00F505A1">
      <w:pPr>
        <w:pStyle w:val="Heading2"/>
      </w:pPr>
      <w:bookmarkStart w:id="20" w:name="_Toc49506055"/>
      <w:bookmarkStart w:id="21" w:name="_Toc49506903"/>
      <w:bookmarkStart w:id="22" w:name="_Toc54273216"/>
      <w:r w:rsidRPr="004D28D0">
        <w:t>Introduction</w:t>
      </w:r>
      <w:bookmarkEnd w:id="20"/>
      <w:bookmarkEnd w:id="21"/>
      <w:bookmarkEnd w:id="22"/>
    </w:p>
    <w:p w14:paraId="392F1B7C" w14:textId="3A30C992" w:rsidR="00C91939" w:rsidRDefault="00C91939" w:rsidP="00C91939">
      <w:pPr>
        <w:keepLines/>
        <w:spacing w:before="60"/>
      </w:pPr>
      <w:r>
        <w:t xml:space="preserve">In August 2019, the Australia and New Zealand Ministerial Forum on Food Regulation (the Forum) agreed to a suite of activities to contribute to achieving the objective of </w:t>
      </w:r>
      <w:r w:rsidR="008329C7">
        <w:t>Priority two</w:t>
      </w:r>
      <w:r>
        <w:t xml:space="preserve"> of the Food Regulation System</w:t>
      </w:r>
      <w:r w:rsidRPr="00BD2DC7">
        <w:rPr>
          <w:i/>
        </w:rPr>
        <w:t>- supporting public health objectives to reduce chronic disease related to overweight and obesity.</w:t>
      </w:r>
      <w:r>
        <w:t xml:space="preserve"> </w:t>
      </w:r>
    </w:p>
    <w:p w14:paraId="45994593" w14:textId="0E7ABD0A" w:rsidR="008329C7" w:rsidRDefault="008329C7" w:rsidP="008329C7">
      <w:pPr>
        <w:keepLines/>
        <w:spacing w:before="60"/>
      </w:pPr>
      <w:r>
        <w:t xml:space="preserve">Priority </w:t>
      </w:r>
      <w:r w:rsidR="008C0DF2">
        <w:t>2</w:t>
      </w:r>
      <w:r w:rsidR="006A3972">
        <w:t xml:space="preserve"> </w:t>
      </w:r>
      <w:r>
        <w:t xml:space="preserve">of the Food Regulation System recognises </w:t>
      </w:r>
      <w:proofErr w:type="gramStart"/>
      <w:r>
        <w:t>overweight</w:t>
      </w:r>
      <w:proofErr w:type="gramEnd"/>
      <w:r>
        <w:t xml:space="preserve"> and obesity is a major health concern for Australia and New Zealand and a key risk factor for </w:t>
      </w:r>
      <w:r w:rsidDel="0079103C">
        <w:t xml:space="preserve">diet-related </w:t>
      </w:r>
      <w:r>
        <w:t xml:space="preserve">chronic disease. </w:t>
      </w:r>
    </w:p>
    <w:p w14:paraId="6AEBB943" w14:textId="5DB07221" w:rsidR="00A95A4E" w:rsidRDefault="00EE5F12" w:rsidP="00A95A4E">
      <w:r>
        <w:t>As part of the suite of activities to support achieving the objective of Priority 2, t</w:t>
      </w:r>
      <w:r w:rsidR="4F17B5B2">
        <w:t>he Forum agreed</w:t>
      </w:r>
      <w:r w:rsidR="1AD277DF">
        <w:t xml:space="preserve"> for the Food Regulation Standing Committee (FRSC) to explore options for</w:t>
      </w:r>
      <w:r w:rsidR="00A95A4E">
        <w:t xml:space="preserve"> setting compositional limits for certain foods and beverages</w:t>
      </w:r>
      <w:r w:rsidR="00813A32">
        <w:rPr>
          <w:rStyle w:val="FootnoteReference"/>
        </w:rPr>
        <w:footnoteReference w:id="5"/>
      </w:r>
      <w:r w:rsidR="00A95A4E">
        <w:t xml:space="preserve">. </w:t>
      </w:r>
      <w:r w:rsidR="008329C7">
        <w:t xml:space="preserve">Compositional limits are one approach to improving the composition of the food supply, in addition to non-regulatory approaches such as voluntary reformulation. </w:t>
      </w:r>
    </w:p>
    <w:p w14:paraId="55173839" w14:textId="2024F65F" w:rsidR="0014606B" w:rsidRPr="000F1209" w:rsidRDefault="0014606B" w:rsidP="000F1209">
      <w:pPr>
        <w:keepLines/>
        <w:spacing w:after="0"/>
        <w:rPr>
          <w:rFonts w:ascii="Times New (W1)" w:eastAsia="Times New Roman" w:hAnsi="Times New (W1)" w:cs="Times New (W1)"/>
        </w:rPr>
      </w:pPr>
      <w:r w:rsidRPr="0014606B">
        <w:rPr>
          <w:rFonts w:ascii="Times New (W1)" w:eastAsia="Times New Roman" w:hAnsi="Times New (W1)" w:cs="Times New (W1)"/>
        </w:rPr>
        <w:t>This</w:t>
      </w:r>
      <w:r w:rsidRPr="0039624C">
        <w:rPr>
          <w:rFonts w:ascii="Times New (W1)" w:eastAsia="Times New Roman" w:hAnsi="Times New (W1)" w:cs="Times New (W1)"/>
        </w:rPr>
        <w:t xml:space="preserve"> work on food composition complements other activities occurring within Priority 2 of the Food Regulation System such as labelling to support consumers to make informed healthy choices through the Health Star Rating (HSR) system and through reviewing labelling of added sugars. It is recognised that labelling may also drive improvements in food composition as industry seeks to achieve a better HSR rating or more favourable declarations in the Nutrition Information Panel. </w:t>
      </w:r>
    </w:p>
    <w:p w14:paraId="71CD7FA7" w14:textId="77777777" w:rsidR="002C50DE" w:rsidRPr="004D28D0" w:rsidRDefault="002C50DE" w:rsidP="00F505A1">
      <w:pPr>
        <w:pStyle w:val="Heading2"/>
      </w:pPr>
      <w:bookmarkStart w:id="23" w:name="_Toc49506056"/>
      <w:bookmarkStart w:id="24" w:name="_Toc49506904"/>
      <w:bookmarkStart w:id="25" w:name="_Toc54273217"/>
      <w:r w:rsidRPr="004D28D0">
        <w:t>Purpose</w:t>
      </w:r>
      <w:bookmarkEnd w:id="23"/>
      <w:bookmarkEnd w:id="24"/>
      <w:bookmarkEnd w:id="25"/>
    </w:p>
    <w:p w14:paraId="65BB720A" w14:textId="321127D6" w:rsidR="008329C7" w:rsidRDefault="008329C7" w:rsidP="00A95A4E">
      <w:r>
        <w:t xml:space="preserve">Exploring options for improving the nutrient content </w:t>
      </w:r>
      <w:r w:rsidDel="00593FCA">
        <w:t>of</w:t>
      </w:r>
      <w:r>
        <w:t xml:space="preserve"> processed foods supports the objective of Priority 2, and the reduction of diet-related chronic disease more generally.</w:t>
      </w:r>
    </w:p>
    <w:p w14:paraId="40DC2959" w14:textId="18BC87CD" w:rsidR="003B5AE9" w:rsidRDefault="003B5AE9" w:rsidP="00A95A4E">
      <w:r>
        <w:t>Healthier food composition is one lever, amongst multiple interacting factors, that can help improve population health outcomes by reducing the prevalence of overweight and obesity and diet-related chronic conditions</w:t>
      </w:r>
      <w:r w:rsidR="005103F4">
        <w:t>.</w:t>
      </w:r>
    </w:p>
    <w:p w14:paraId="412DACEE" w14:textId="03B26A53" w:rsidR="0040205A" w:rsidRDefault="008329C7" w:rsidP="0040205A">
      <w:r>
        <w:t>While there are already voluntary actions underway to improve the composition of the food supply, t</w:t>
      </w:r>
      <w:r w:rsidR="0040205A">
        <w:t>his paper</w:t>
      </w:r>
      <w:r w:rsidR="009D084A">
        <w:t xml:space="preserve"> assesses the voluntary actions and seeks to</w:t>
      </w:r>
      <w:r w:rsidR="0040205A">
        <w:t xml:space="preserve"> </w:t>
      </w:r>
      <w:r w:rsidR="009D084A">
        <w:t xml:space="preserve">identify </w:t>
      </w:r>
      <w:r w:rsidR="0040205A">
        <w:t>food categories and/or nutrients where population health would benefit if additional actions were taken.</w:t>
      </w:r>
      <w:r w:rsidR="0014606B">
        <w:t xml:space="preserve"> </w:t>
      </w:r>
    </w:p>
    <w:p w14:paraId="4BC2B20B" w14:textId="2EA868C4" w:rsidR="00A95A4E" w:rsidRDefault="00857E25" w:rsidP="00A95A4E">
      <w:r>
        <w:t xml:space="preserve">This paper </w:t>
      </w:r>
      <w:r w:rsidR="00E94079">
        <w:t>i</w:t>
      </w:r>
      <w:r>
        <w:t xml:space="preserve">s </w:t>
      </w:r>
      <w:r w:rsidDel="005103F4">
        <w:t xml:space="preserve">presented in </w:t>
      </w:r>
      <w:r w:rsidR="008329C7">
        <w:t>four</w:t>
      </w:r>
      <w:r>
        <w:t xml:space="preserve"> parts; Part 1 </w:t>
      </w:r>
      <w:r w:rsidR="008329C7">
        <w:t>provides context and information to understand current patterns in Australia and New Zealand</w:t>
      </w:r>
      <w:r w:rsidR="006622D3">
        <w:t xml:space="preserve">. </w:t>
      </w:r>
      <w:r w:rsidR="008329C7">
        <w:t xml:space="preserve">Part 2 </w:t>
      </w:r>
      <w:r>
        <w:t>explores actions in Australia, New Zealand</w:t>
      </w:r>
      <w:r w:rsidR="005103F4">
        <w:t>,</w:t>
      </w:r>
      <w:r>
        <w:t xml:space="preserve"> and internationally to improve nutrient intakes </w:t>
      </w:r>
      <w:r w:rsidR="00F262C7">
        <w:t xml:space="preserve">through </w:t>
      </w:r>
      <w:r w:rsidR="008329C7">
        <w:t xml:space="preserve">modifying </w:t>
      </w:r>
      <w:r w:rsidDel="005103F4">
        <w:t xml:space="preserve">the nutrient </w:t>
      </w:r>
      <w:r w:rsidR="00AF6CB1">
        <w:t>composition</w:t>
      </w:r>
      <w:r w:rsidR="00720984">
        <w:t xml:space="preserve"> of</w:t>
      </w:r>
      <w:r w:rsidR="008329C7">
        <w:t xml:space="preserve"> the food supply. Part 3 </w:t>
      </w:r>
      <w:r>
        <w:t xml:space="preserve">considers </w:t>
      </w:r>
      <w:r w:rsidR="00F26CE3">
        <w:t>intakes of key nutrients in Australia and New Zealand</w:t>
      </w:r>
      <w:r w:rsidR="00F26CE3" w:rsidRPr="00F26CE3">
        <w:t xml:space="preserve"> </w:t>
      </w:r>
      <w:r w:rsidR="00F26CE3">
        <w:t>and identifies foods or food categories which are major contributors of those nutrients.</w:t>
      </w:r>
      <w:r w:rsidR="004D28DA">
        <w:t xml:space="preserve"> </w:t>
      </w:r>
      <w:r w:rsidR="00AA176D">
        <w:t>Considering</w:t>
      </w:r>
      <w:r w:rsidR="00F26CE3">
        <w:t xml:space="preserve"> </w:t>
      </w:r>
      <w:r>
        <w:t xml:space="preserve">this information, and </w:t>
      </w:r>
      <w:r w:rsidDel="002E100F">
        <w:t>the current actions underway</w:t>
      </w:r>
      <w:r w:rsidR="004B1E19">
        <w:t>, the potential for additional</w:t>
      </w:r>
      <w:r w:rsidR="00F26CE3">
        <w:t xml:space="preserve"> </w:t>
      </w:r>
      <w:r w:rsidR="006A0B40">
        <w:t xml:space="preserve">options for </w:t>
      </w:r>
      <w:r w:rsidR="00F26CE3">
        <w:t>improv</w:t>
      </w:r>
      <w:r w:rsidR="006A0B40">
        <w:t>ing</w:t>
      </w:r>
      <w:r w:rsidR="00F26CE3">
        <w:t xml:space="preserve"> the composition of the food supply</w:t>
      </w:r>
      <w:r w:rsidR="006A0B40">
        <w:t xml:space="preserve"> are then explored</w:t>
      </w:r>
      <w:r w:rsidR="0040205A">
        <w:t xml:space="preserve">. </w:t>
      </w:r>
      <w:r w:rsidDel="002E100F">
        <w:t xml:space="preserve">The paper concludes </w:t>
      </w:r>
      <w:r w:rsidR="0014606B">
        <w:t>in Part </w:t>
      </w:r>
      <w:r w:rsidR="00BB4ECC">
        <w:t>4</w:t>
      </w:r>
      <w:r w:rsidR="00935569">
        <w:t xml:space="preserve"> </w:t>
      </w:r>
      <w:r w:rsidDel="002E100F">
        <w:t xml:space="preserve">by making </w:t>
      </w:r>
      <w:r>
        <w:t>recommendations</w:t>
      </w:r>
      <w:r w:rsidR="004D28DA">
        <w:t xml:space="preserve"> </w:t>
      </w:r>
      <w:r w:rsidR="00A95A4E">
        <w:t>about</w:t>
      </w:r>
      <w:r w:rsidR="002E100F">
        <w:t xml:space="preserve"> </w:t>
      </w:r>
      <w:r w:rsidR="00A95A4E">
        <w:t xml:space="preserve">next steps for </w:t>
      </w:r>
      <w:r w:rsidR="004B1E19">
        <w:t xml:space="preserve">work </w:t>
      </w:r>
      <w:r w:rsidR="001F01E9">
        <w:t>across</w:t>
      </w:r>
      <w:r w:rsidR="004B1E19">
        <w:t xml:space="preserve"> the food system</w:t>
      </w:r>
      <w:r w:rsidR="00A95A4E">
        <w:t xml:space="preserve">. </w:t>
      </w:r>
    </w:p>
    <w:p w14:paraId="07243B7E" w14:textId="212566DA" w:rsidR="00A95A4E" w:rsidRPr="003B5E2D" w:rsidRDefault="00F53494" w:rsidP="00A95A4E">
      <w:pPr>
        <w:pStyle w:val="Heading2"/>
        <w:rPr>
          <w:b/>
        </w:rPr>
      </w:pPr>
      <w:bookmarkStart w:id="26" w:name="_Toc49506057"/>
      <w:bookmarkStart w:id="27" w:name="_Toc49506905"/>
      <w:bookmarkStart w:id="28" w:name="_Toc54273218"/>
      <w:r w:rsidRPr="003B5E2D">
        <w:rPr>
          <w:b/>
        </w:rPr>
        <w:lastRenderedPageBreak/>
        <w:t xml:space="preserve">Part 1: </w:t>
      </w:r>
      <w:r w:rsidR="003D3497" w:rsidRPr="003B5E2D">
        <w:rPr>
          <w:b/>
        </w:rPr>
        <w:t>Context and u</w:t>
      </w:r>
      <w:r w:rsidR="00A95A4E" w:rsidRPr="003B5E2D">
        <w:rPr>
          <w:b/>
        </w:rPr>
        <w:t>nderstanding the issue</w:t>
      </w:r>
      <w:bookmarkEnd w:id="26"/>
      <w:bookmarkEnd w:id="27"/>
      <w:bookmarkEnd w:id="28"/>
    </w:p>
    <w:p w14:paraId="3674B21F" w14:textId="796856D7" w:rsidR="003B5AE9" w:rsidRPr="003B5AE9" w:rsidRDefault="003B5AE9" w:rsidP="003B5AE9">
      <w:pPr>
        <w:pStyle w:val="Heading3"/>
      </w:pPr>
      <w:bookmarkStart w:id="29" w:name="_Toc49506058"/>
      <w:bookmarkStart w:id="30" w:name="_Toc49506906"/>
      <w:bookmarkStart w:id="31" w:name="_Toc54273219"/>
      <w:r>
        <w:t>Evidence-based recommendations for healthy dietary patterns</w:t>
      </w:r>
      <w:bookmarkEnd w:id="29"/>
      <w:bookmarkEnd w:id="30"/>
      <w:bookmarkEnd w:id="31"/>
    </w:p>
    <w:p w14:paraId="05C31E0C" w14:textId="35D9296F" w:rsidR="00324F79" w:rsidRDefault="00324F79" w:rsidP="00324F79">
      <w:r>
        <w:t>Dietary Guidelines in Australia</w:t>
      </w:r>
      <w:r>
        <w:rPr>
          <w:rStyle w:val="FootnoteReference"/>
        </w:rPr>
        <w:footnoteReference w:id="6"/>
      </w:r>
      <w:r>
        <w:t xml:space="preserve"> and New Zealand</w:t>
      </w:r>
      <w:r>
        <w:rPr>
          <w:rStyle w:val="FootnoteReference"/>
        </w:rPr>
        <w:footnoteReference w:id="7"/>
      </w:r>
      <w:r>
        <w:t xml:space="preserve"> provide food-based recommendations for healthy dietary patterns, meeting nutrient requirements, reducing the risk of diet-related chronic conditions, and maintaining a healthy body weight. The Dietary Guidelines </w:t>
      </w:r>
      <w:proofErr w:type="gramStart"/>
      <w:r>
        <w:t>take into account</w:t>
      </w:r>
      <w:proofErr w:type="gramEnd"/>
      <w:r>
        <w:t xml:space="preserve"> the Nutrient Reference Values for Australia and New Zealand</w:t>
      </w:r>
      <w:r>
        <w:rPr>
          <w:rStyle w:val="FootnoteReference"/>
        </w:rPr>
        <w:footnoteReference w:id="8"/>
      </w:r>
      <w:r>
        <w:t xml:space="preserve"> which recommend amounts of essential nutrients</w:t>
      </w:r>
      <w:r w:rsidRPr="004D28DA">
        <w:t xml:space="preserve"> </w:t>
      </w:r>
      <w:r>
        <w:t>to avoid nutritional deficiencies, and also provide recommended intakes of macronutrients and micronutrients to</w:t>
      </w:r>
      <w:r w:rsidDel="002F00EF">
        <w:t xml:space="preserve"> </w:t>
      </w:r>
      <w:r w:rsidDel="00B978A1">
        <w:t>lower</w:t>
      </w:r>
      <w:r>
        <w:t xml:space="preserve"> chronic disease risk</w:t>
      </w:r>
      <w:r w:rsidR="004B0842">
        <w:t>.</w:t>
      </w:r>
    </w:p>
    <w:p w14:paraId="29647559" w14:textId="6DF94823" w:rsidR="00324F79" w:rsidRDefault="00324F79" w:rsidP="00324F79">
      <w:r>
        <w:t>According to Dietary Guidelines</w:t>
      </w:r>
      <w:r w:rsidR="003B5AE9">
        <w:t>,</w:t>
      </w:r>
      <w:r>
        <w:t xml:space="preserve"> Australians and New Zealanders should limit consumption of foods containing saturated (and trans) fats, added sugars and salt (sodium). However, many Australians and New Zealanders do not follow this advice and exceed the recommended intakes of saturated</w:t>
      </w:r>
      <w:r w:rsidR="00701FB0">
        <w:t xml:space="preserve"> fats</w:t>
      </w:r>
      <w:r w:rsidRPr="57A61FFE">
        <w:rPr>
          <w:rStyle w:val="FootnoteReference"/>
        </w:rPr>
        <w:footnoteReference w:id="9"/>
      </w:r>
      <w:r w:rsidR="002D0116">
        <w:rPr>
          <w:vertAlign w:val="superscript"/>
        </w:rPr>
        <w:t>,</w:t>
      </w:r>
      <w:r>
        <w:rPr>
          <w:rStyle w:val="FootnoteReference"/>
        </w:rPr>
        <w:footnoteReference w:id="10"/>
      </w:r>
      <w:r>
        <w:t>, added sugars</w:t>
      </w:r>
      <w:r w:rsidRPr="00E701FE">
        <w:rPr>
          <w:rStyle w:val="FootnoteReference"/>
        </w:rPr>
        <w:footnoteReference w:id="11"/>
      </w:r>
      <w:r w:rsidRPr="00E701FE">
        <w:rPr>
          <w:vertAlign w:val="superscript"/>
        </w:rPr>
        <w:t>,</w:t>
      </w:r>
      <w:r w:rsidRPr="00E701FE">
        <w:rPr>
          <w:rStyle w:val="FootnoteReference"/>
        </w:rPr>
        <w:footnoteReference w:id="12"/>
      </w:r>
      <w:r>
        <w:t xml:space="preserve"> and sodium</w:t>
      </w:r>
      <w:r w:rsidRPr="00E701FE">
        <w:rPr>
          <w:rStyle w:val="FootnoteReference"/>
        </w:rPr>
        <w:footnoteReference w:id="13"/>
      </w:r>
      <w:r w:rsidRPr="00E701FE">
        <w:rPr>
          <w:vertAlign w:val="superscript"/>
        </w:rPr>
        <w:t>,</w:t>
      </w:r>
      <w:r w:rsidRPr="57A61FFE">
        <w:rPr>
          <w:rStyle w:val="FootnoteReference"/>
        </w:rPr>
        <w:footnoteReference w:id="14"/>
      </w:r>
      <w:r w:rsidR="00AA176D">
        <w:t xml:space="preserve">. </w:t>
      </w:r>
      <w:r>
        <w:t>Consumption of too m</w:t>
      </w:r>
      <w:r w:rsidR="00AA176D">
        <w:t xml:space="preserve">any </w:t>
      </w:r>
      <w:r>
        <w:t>energy dense-nutrient poor foods</w:t>
      </w:r>
      <w:r w:rsidRPr="7433B3D5">
        <w:rPr>
          <w:rStyle w:val="FootnoteReference"/>
        </w:rPr>
        <w:footnoteReference w:id="15"/>
      </w:r>
      <w:r>
        <w:t xml:space="preserve"> </w:t>
      </w:r>
      <w:r w:rsidR="003B5AE9">
        <w:t>provides unnecessary dietary energy and displace</w:t>
      </w:r>
      <w:r w:rsidR="00720984">
        <w:t>s</w:t>
      </w:r>
      <w:r w:rsidR="003B5AE9">
        <w:t xml:space="preserve"> more</w:t>
      </w:r>
      <w:r>
        <w:t xml:space="preserve"> n</w:t>
      </w:r>
      <w:r w:rsidR="004B0842">
        <w:t>utritious foods from the diet.</w:t>
      </w:r>
    </w:p>
    <w:p w14:paraId="21C680C4" w14:textId="045756C3" w:rsidR="00674EF6" w:rsidRDefault="008546BE" w:rsidP="00324F79">
      <w:r>
        <w:t>A review of t</w:t>
      </w:r>
      <w:r w:rsidR="00674EF6">
        <w:t xml:space="preserve">he </w:t>
      </w:r>
      <w:r>
        <w:t xml:space="preserve">2013 </w:t>
      </w:r>
      <w:r w:rsidR="00674EF6">
        <w:t xml:space="preserve">Australian Dietary Guidelines </w:t>
      </w:r>
      <w:r>
        <w:t>was announced in July 2020</w:t>
      </w:r>
      <w:r w:rsidDel="007272C2">
        <w:t>. This work</w:t>
      </w:r>
      <w:r>
        <w:t xml:space="preserve"> </w:t>
      </w:r>
      <w:r w:rsidDel="007272C2">
        <w:t>is in its early stages</w:t>
      </w:r>
      <w:r w:rsidR="00F53494">
        <w:t xml:space="preserve"> </w:t>
      </w:r>
      <w:r>
        <w:t>and</w:t>
      </w:r>
      <w:r w:rsidR="00674EF6">
        <w:t xml:space="preserve"> updated guidelines</w:t>
      </w:r>
      <w:r w:rsidR="00720984">
        <w:t xml:space="preserve"> </w:t>
      </w:r>
      <w:r w:rsidR="00F54330">
        <w:t>are</w:t>
      </w:r>
      <w:r w:rsidR="00674EF6">
        <w:t xml:space="preserve"> expected in 2024. The 2013 Australian Dietary Guidelines remain applicable until the review is complete. </w:t>
      </w:r>
      <w:r w:rsidR="00720984">
        <w:t xml:space="preserve">The 2015 Eating and Activity Guidelines for New Zealand adults is </w:t>
      </w:r>
      <w:r w:rsidR="00F54330">
        <w:t xml:space="preserve">currently being updated to include advice for </w:t>
      </w:r>
      <w:r w:rsidR="00F54330">
        <w:lastRenderedPageBreak/>
        <w:t xml:space="preserve">pregnant and breastfeeding women. However, advice for the general adult population will remain unchanged. </w:t>
      </w:r>
    </w:p>
    <w:p w14:paraId="0B3E15C8" w14:textId="77777777" w:rsidR="003B5AE9" w:rsidRPr="00E701FE" w:rsidRDefault="003B5AE9" w:rsidP="003B5AE9">
      <w:pPr>
        <w:pStyle w:val="Heading3"/>
      </w:pPr>
      <w:bookmarkStart w:id="32" w:name="_Toc49506059"/>
      <w:bookmarkStart w:id="33" w:name="_Toc49506907"/>
      <w:bookmarkStart w:id="34" w:name="_Toc54273220"/>
      <w:r>
        <w:t>Prevalence and burden of overweight and obesity and poor diets</w:t>
      </w:r>
      <w:bookmarkEnd w:id="32"/>
      <w:bookmarkEnd w:id="33"/>
      <w:bookmarkEnd w:id="34"/>
    </w:p>
    <w:p w14:paraId="2E511BC8" w14:textId="02953B14" w:rsidR="00760215" w:rsidRDefault="00F72FDA" w:rsidP="00F72FDA">
      <w:r w:rsidRPr="00BB4ECC">
        <w:t>Overweight and obesity (</w:t>
      </w:r>
      <w:r w:rsidR="007272C2" w:rsidRPr="00BB4ECC">
        <w:t xml:space="preserve">measured by </w:t>
      </w:r>
      <w:r w:rsidRPr="00BB4ECC">
        <w:t xml:space="preserve">high body mass index) is a public health priority for Australia and </w:t>
      </w:r>
      <w:r w:rsidRPr="0028326D">
        <w:t xml:space="preserve">New Zealand. </w:t>
      </w:r>
      <w:r w:rsidR="00760215" w:rsidRPr="0028326D">
        <w:t>Overweight and obesity is a major risk factor for cardiovascular disease, type-2 diabetes, some musculoskeletal conditions and some cancers</w:t>
      </w:r>
      <w:r w:rsidR="00760215" w:rsidRPr="0028326D">
        <w:rPr>
          <w:rStyle w:val="FootnoteReference"/>
        </w:rPr>
        <w:footnoteReference w:id="16"/>
      </w:r>
      <w:r w:rsidR="00760215" w:rsidRPr="0028326D">
        <w:t>.</w:t>
      </w:r>
    </w:p>
    <w:p w14:paraId="187FC03E" w14:textId="04D7A74F" w:rsidR="00115442" w:rsidRPr="00DE6703" w:rsidRDefault="00F72FDA" w:rsidP="00F72FDA">
      <w:pPr>
        <w:rPr>
          <w:shd w:val="clear" w:color="auto" w:fill="FFFFFF"/>
        </w:rPr>
      </w:pPr>
      <w:r w:rsidRPr="00BB4ECC">
        <w:t xml:space="preserve">The prevalence of overweight and obesity in Australia and New Zealand </w:t>
      </w:r>
      <w:r w:rsidR="00AB1482" w:rsidRPr="00BB4ECC">
        <w:t>is high</w:t>
      </w:r>
      <w:r w:rsidR="00FD284A" w:rsidRPr="00BB4ECC">
        <w:t>.</w:t>
      </w:r>
      <w:r w:rsidRPr="00BB4ECC">
        <w:t xml:space="preserve"> </w:t>
      </w:r>
      <w:r w:rsidR="00FD284A" w:rsidRPr="00BB4ECC">
        <w:t>I</w:t>
      </w:r>
      <w:r w:rsidR="00324F79" w:rsidRPr="00BB4ECC">
        <w:t>n Australia in 2017-18, 67</w:t>
      </w:r>
      <w:r w:rsidR="00BB4ECC">
        <w:t>.0</w:t>
      </w:r>
      <w:r w:rsidR="00324F79" w:rsidRPr="00BB4ECC">
        <w:t xml:space="preserve">% of the adult population was overweight or obese, up from </w:t>
      </w:r>
      <w:r w:rsidR="00324F79" w:rsidRPr="00BB4ECC">
        <w:rPr>
          <w:shd w:val="clear" w:color="auto" w:fill="FFFFFF"/>
        </w:rPr>
        <w:t>63% in 2014-15 and 56% in 1995.</w:t>
      </w:r>
      <w:r w:rsidR="00AB1482" w:rsidRPr="00BB4ECC">
        <w:rPr>
          <w:shd w:val="clear" w:color="auto" w:fill="FFFFFF"/>
        </w:rPr>
        <w:t xml:space="preserve"> </w:t>
      </w:r>
      <w:r w:rsidR="00663B3B" w:rsidRPr="00BB4ECC">
        <w:rPr>
          <w:shd w:val="clear" w:color="auto" w:fill="FFFFFF"/>
        </w:rPr>
        <w:t>I</w:t>
      </w:r>
      <w:r w:rsidR="00AB1482" w:rsidRPr="00BB4ECC">
        <w:rPr>
          <w:shd w:val="clear" w:color="auto" w:fill="FFFFFF"/>
        </w:rPr>
        <w:t xml:space="preserve">n 2018/2019 65% of </w:t>
      </w:r>
      <w:r w:rsidR="00663B3B" w:rsidRPr="00BB4ECC">
        <w:rPr>
          <w:shd w:val="clear" w:color="auto" w:fill="FFFFFF"/>
        </w:rPr>
        <w:t>New Zealand</w:t>
      </w:r>
      <w:r w:rsidR="00AB1482" w:rsidRPr="00BB4ECC">
        <w:rPr>
          <w:shd w:val="clear" w:color="auto" w:fill="FFFFFF"/>
        </w:rPr>
        <w:t xml:space="preserve"> adults (aged 15 years and above) were classified as </w:t>
      </w:r>
      <w:r w:rsidR="00663B3B" w:rsidRPr="00BB4ECC">
        <w:rPr>
          <w:shd w:val="clear" w:color="auto" w:fill="FFFFFF"/>
        </w:rPr>
        <w:t>overweight or obese</w:t>
      </w:r>
      <w:r w:rsidR="004A4CFA" w:rsidRPr="00BB4ECC">
        <w:rPr>
          <w:rStyle w:val="FootnoteReference"/>
          <w:shd w:val="clear" w:color="auto" w:fill="FFFFFF"/>
        </w:rPr>
        <w:footnoteReference w:id="17"/>
      </w:r>
      <w:r w:rsidR="00663B3B" w:rsidRPr="00BB4ECC">
        <w:rPr>
          <w:shd w:val="clear" w:color="auto" w:fill="FFFFFF"/>
        </w:rPr>
        <w:t xml:space="preserve">. Around </w:t>
      </w:r>
      <w:r w:rsidR="00D42DD0" w:rsidRPr="00BB4ECC">
        <w:rPr>
          <w:shd w:val="clear" w:color="auto" w:fill="FFFFFF"/>
        </w:rPr>
        <w:t>one</w:t>
      </w:r>
      <w:r w:rsidR="00663B3B" w:rsidRPr="00BB4ECC">
        <w:rPr>
          <w:shd w:val="clear" w:color="auto" w:fill="FFFFFF"/>
        </w:rPr>
        <w:t xml:space="preserve"> in </w:t>
      </w:r>
      <w:r w:rsidR="00D42DD0" w:rsidRPr="00BB4ECC">
        <w:rPr>
          <w:shd w:val="clear" w:color="auto" w:fill="FFFFFF"/>
        </w:rPr>
        <w:t>three</w:t>
      </w:r>
      <w:r w:rsidR="00663B3B" w:rsidRPr="00BB4ECC">
        <w:rPr>
          <w:shd w:val="clear" w:color="auto" w:fill="FFFFFF"/>
        </w:rPr>
        <w:t xml:space="preserve"> New Zealand adults were obese (30.9%)</w:t>
      </w:r>
      <w:r w:rsidR="004A4CFA" w:rsidRPr="00BB4ECC">
        <w:rPr>
          <w:rStyle w:val="FootnoteReference"/>
          <w:shd w:val="clear" w:color="auto" w:fill="FFFFFF"/>
        </w:rPr>
        <w:footnoteReference w:id="18"/>
      </w:r>
      <w:r w:rsidR="00663B3B" w:rsidRPr="00BB4ECC">
        <w:rPr>
          <w:shd w:val="clear" w:color="auto" w:fill="FFFFFF"/>
        </w:rPr>
        <w:t xml:space="preserve">. </w:t>
      </w:r>
      <w:r w:rsidR="00437D6A" w:rsidRPr="00BB4ECC">
        <w:rPr>
          <w:shd w:val="clear" w:color="auto" w:fill="FFFFFF"/>
        </w:rPr>
        <w:t>New Zealand’s</w:t>
      </w:r>
      <w:r w:rsidR="007D6068" w:rsidRPr="00BB4ECC">
        <w:rPr>
          <w:shd w:val="clear" w:color="auto" w:fill="FFFFFF"/>
        </w:rPr>
        <w:t xml:space="preserve"> </w:t>
      </w:r>
      <w:r w:rsidR="00663B3B" w:rsidRPr="00BB4ECC">
        <w:rPr>
          <w:shd w:val="clear" w:color="auto" w:fill="FFFFFF"/>
        </w:rPr>
        <w:t xml:space="preserve">adult </w:t>
      </w:r>
      <w:r w:rsidR="007D6068" w:rsidRPr="00BB4ECC">
        <w:rPr>
          <w:shd w:val="clear" w:color="auto" w:fill="FFFFFF"/>
        </w:rPr>
        <w:t xml:space="preserve">overweight </w:t>
      </w:r>
      <w:r w:rsidR="00115442" w:rsidRPr="00BB4ECC">
        <w:rPr>
          <w:shd w:val="clear" w:color="auto" w:fill="FFFFFF"/>
        </w:rPr>
        <w:t>and</w:t>
      </w:r>
      <w:r w:rsidR="007D6068" w:rsidRPr="00BB4ECC">
        <w:rPr>
          <w:shd w:val="clear" w:color="auto" w:fill="FFFFFF"/>
        </w:rPr>
        <w:t xml:space="preserve"> </w:t>
      </w:r>
      <w:r w:rsidR="00663B3B" w:rsidRPr="00BB4ECC">
        <w:rPr>
          <w:shd w:val="clear" w:color="auto" w:fill="FFFFFF"/>
        </w:rPr>
        <w:t xml:space="preserve">obesity rate increased </w:t>
      </w:r>
      <w:r w:rsidR="002428C9" w:rsidRPr="00DE6703">
        <w:rPr>
          <w:shd w:val="clear" w:color="auto" w:fill="FFFFFF"/>
        </w:rPr>
        <w:t>rapidly</w:t>
      </w:r>
      <w:r w:rsidR="007D6068" w:rsidRPr="00DE6703">
        <w:rPr>
          <w:shd w:val="clear" w:color="auto" w:fill="FFFFFF"/>
        </w:rPr>
        <w:t xml:space="preserve"> </w:t>
      </w:r>
      <w:r w:rsidR="00437D6A" w:rsidRPr="00DE6703">
        <w:rPr>
          <w:shd w:val="clear" w:color="auto" w:fill="FFFFFF"/>
        </w:rPr>
        <w:t>from the late 1980s</w:t>
      </w:r>
      <w:r w:rsidR="00035370" w:rsidRPr="00DE6703">
        <w:rPr>
          <w:rStyle w:val="FootnoteReference"/>
          <w:shd w:val="clear" w:color="auto" w:fill="FFFFFF"/>
        </w:rPr>
        <w:footnoteReference w:id="19"/>
      </w:r>
      <w:r w:rsidR="00663B3B" w:rsidRPr="00DE6703">
        <w:rPr>
          <w:shd w:val="clear" w:color="auto" w:fill="FFFFFF"/>
        </w:rPr>
        <w:t>, but has not changed significantly since 201</w:t>
      </w:r>
      <w:r w:rsidR="00300EA7" w:rsidRPr="00DE6703">
        <w:rPr>
          <w:shd w:val="clear" w:color="auto" w:fill="FFFFFF"/>
        </w:rPr>
        <w:t>1</w:t>
      </w:r>
      <w:r w:rsidR="00983CE7">
        <w:rPr>
          <w:shd w:val="clear" w:color="auto" w:fill="FFFFFF"/>
        </w:rPr>
        <w:t>-</w:t>
      </w:r>
      <w:r w:rsidR="00300EA7" w:rsidRPr="00DE6703">
        <w:rPr>
          <w:shd w:val="clear" w:color="auto" w:fill="FFFFFF"/>
        </w:rPr>
        <w:t>1</w:t>
      </w:r>
      <w:r w:rsidR="00663B3B" w:rsidRPr="00DE6703">
        <w:rPr>
          <w:shd w:val="clear" w:color="auto" w:fill="FFFFFF"/>
        </w:rPr>
        <w:t>2</w:t>
      </w:r>
      <w:r w:rsidR="003453BF" w:rsidRPr="00DE6703">
        <w:rPr>
          <w:shd w:val="clear" w:color="auto" w:fill="FFFFFF"/>
        </w:rPr>
        <w:t>.</w:t>
      </w:r>
    </w:p>
    <w:p w14:paraId="462E064E" w14:textId="6374DF0F" w:rsidR="00DE6703" w:rsidRPr="00DE6703" w:rsidRDefault="00FD6226" w:rsidP="00BF11FC">
      <w:pPr>
        <w:rPr>
          <w:shd w:val="clear" w:color="auto" w:fill="FFFFFF"/>
        </w:rPr>
      </w:pPr>
      <w:r w:rsidRPr="00DE6703" w:rsidDel="002B4BF8">
        <w:rPr>
          <w:shd w:val="clear" w:color="auto" w:fill="FFFFFF"/>
        </w:rPr>
        <w:t xml:space="preserve">The prevalence of obesity among adults </w:t>
      </w:r>
      <w:r w:rsidRPr="00DE6703">
        <w:rPr>
          <w:shd w:val="clear" w:color="auto" w:fill="FFFFFF"/>
        </w:rPr>
        <w:t>differ</w:t>
      </w:r>
      <w:r w:rsidR="00115442" w:rsidRPr="00DE6703">
        <w:rPr>
          <w:shd w:val="clear" w:color="auto" w:fill="FFFFFF"/>
        </w:rPr>
        <w:t>s</w:t>
      </w:r>
      <w:r w:rsidRPr="00DE6703" w:rsidDel="002B4BF8">
        <w:rPr>
          <w:shd w:val="clear" w:color="auto" w:fill="FFFFFF"/>
        </w:rPr>
        <w:t xml:space="preserve"> by ethnicity</w:t>
      </w:r>
      <w:r w:rsidR="00115442" w:rsidRPr="00DE6703">
        <w:rPr>
          <w:shd w:val="clear" w:color="auto" w:fill="FFFFFF"/>
        </w:rPr>
        <w:t>.</w:t>
      </w:r>
      <w:r w:rsidR="00DE6703" w:rsidRPr="00DE6703">
        <w:rPr>
          <w:shd w:val="clear" w:color="auto" w:fill="FFFFFF"/>
        </w:rPr>
        <w:t xml:space="preserve"> </w:t>
      </w:r>
      <w:r w:rsidR="00115442" w:rsidRPr="00DE6703">
        <w:rPr>
          <w:shd w:val="clear" w:color="auto" w:fill="FFFFFF"/>
        </w:rPr>
        <w:t>In 2018/19 in New Zealand</w:t>
      </w:r>
      <w:r w:rsidRPr="00DE6703" w:rsidDel="002B4BF8">
        <w:rPr>
          <w:shd w:val="clear" w:color="auto" w:fill="FFFFFF"/>
        </w:rPr>
        <w:t xml:space="preserve"> </w:t>
      </w:r>
      <w:r w:rsidRPr="00DE6703">
        <w:rPr>
          <w:shd w:val="clear" w:color="auto" w:fill="FFFFFF"/>
        </w:rPr>
        <w:t>66.5% of Pacific</w:t>
      </w:r>
      <w:r w:rsidR="002B4BF8" w:rsidRPr="00DE6703">
        <w:rPr>
          <w:shd w:val="clear" w:color="auto" w:fill="FFFFFF"/>
        </w:rPr>
        <w:t xml:space="preserve"> and </w:t>
      </w:r>
      <w:r w:rsidRPr="00DE6703">
        <w:rPr>
          <w:shd w:val="clear" w:color="auto" w:fill="FFFFFF"/>
        </w:rPr>
        <w:t>48.2% of Māori</w:t>
      </w:r>
      <w:r w:rsidR="002B4BF8" w:rsidRPr="00DE6703">
        <w:rPr>
          <w:shd w:val="clear" w:color="auto" w:fill="FFFFFF"/>
        </w:rPr>
        <w:t xml:space="preserve"> </w:t>
      </w:r>
      <w:r w:rsidR="00115442" w:rsidRPr="00DE6703">
        <w:rPr>
          <w:shd w:val="clear" w:color="auto" w:fill="FFFFFF"/>
        </w:rPr>
        <w:t xml:space="preserve">adults </w:t>
      </w:r>
      <w:r w:rsidR="002B4BF8" w:rsidRPr="00DE6703">
        <w:rPr>
          <w:shd w:val="clear" w:color="auto" w:fill="FFFFFF"/>
        </w:rPr>
        <w:t>were obese, compared to</w:t>
      </w:r>
      <w:r w:rsidRPr="00DE6703">
        <w:rPr>
          <w:shd w:val="clear" w:color="auto" w:fill="FFFFFF"/>
        </w:rPr>
        <w:t xml:space="preserve"> </w:t>
      </w:r>
      <w:r w:rsidR="002B4BF8" w:rsidRPr="00DE6703">
        <w:rPr>
          <w:shd w:val="clear" w:color="auto" w:fill="FFFFFF"/>
        </w:rPr>
        <w:t xml:space="preserve">13.8% of Asian and </w:t>
      </w:r>
      <w:r w:rsidRPr="00DE6703">
        <w:rPr>
          <w:shd w:val="clear" w:color="auto" w:fill="FFFFFF"/>
        </w:rPr>
        <w:t>29.1% of European/Other</w:t>
      </w:r>
      <w:r w:rsidRPr="00DE6703" w:rsidDel="002B4BF8">
        <w:rPr>
          <w:shd w:val="clear" w:color="auto" w:fill="FFFFFF"/>
        </w:rPr>
        <w:t xml:space="preserve"> adults</w:t>
      </w:r>
      <w:r w:rsidR="00DA168F" w:rsidRPr="00DE6703">
        <w:rPr>
          <w:shd w:val="clear" w:color="auto" w:fill="FFFFFF"/>
        </w:rPr>
        <w:t xml:space="preserve">. </w:t>
      </w:r>
      <w:r w:rsidR="00DE6703" w:rsidRPr="00DE6703">
        <w:rPr>
          <w:shd w:val="clear" w:color="auto" w:fill="FFFFFF"/>
        </w:rPr>
        <w:t>Likewise</w:t>
      </w:r>
      <w:r w:rsidR="00436221">
        <w:rPr>
          <w:shd w:val="clear" w:color="auto" w:fill="FFFFFF"/>
        </w:rPr>
        <w:t>,</w:t>
      </w:r>
      <w:r w:rsidR="00DE6703" w:rsidRPr="00DE6703">
        <w:rPr>
          <w:shd w:val="clear" w:color="auto" w:fill="FFFFFF"/>
        </w:rPr>
        <w:t xml:space="preserve"> in Australia, Indigenous adults were more likely to be overweight or obese. This was especially apparent in obesity rates (43% compared with 27% for non-Indigenous adults in 2011-13)</w:t>
      </w:r>
      <w:r w:rsidR="00DE6703" w:rsidRPr="00DE6703">
        <w:rPr>
          <w:rStyle w:val="FootnoteReference"/>
          <w:shd w:val="clear" w:color="auto" w:fill="FFFFFF"/>
        </w:rPr>
        <w:footnoteReference w:id="20"/>
      </w:r>
      <w:r w:rsidR="00DE6703" w:rsidRPr="00DE6703">
        <w:rPr>
          <w:shd w:val="clear" w:color="auto" w:fill="FFFFFF"/>
        </w:rPr>
        <w:t xml:space="preserve">. </w:t>
      </w:r>
      <w:r w:rsidR="00DE6703" w:rsidRPr="00DE6703">
        <w:t>Australians living in inner regional and outer regional areas and remote parts of Australia were also more likely to be overweight or obese than those living in major cities</w:t>
      </w:r>
      <w:r w:rsidR="00DE6703" w:rsidRPr="00DE6703">
        <w:rPr>
          <w:rStyle w:val="FootnoteReference"/>
        </w:rPr>
        <w:footnoteReference w:id="21"/>
      </w:r>
      <w:r w:rsidR="00DE6703" w:rsidRPr="00DE6703">
        <w:t>.</w:t>
      </w:r>
    </w:p>
    <w:p w14:paraId="43BE4C82" w14:textId="77777777" w:rsidR="00497146" w:rsidRDefault="00DE6703" w:rsidP="00BF11FC">
      <w:pPr>
        <w:rPr>
          <w:shd w:val="clear" w:color="auto" w:fill="FFFFFF"/>
        </w:rPr>
      </w:pPr>
      <w:r w:rsidRPr="00DE6703">
        <w:rPr>
          <w:shd w:val="clear" w:color="auto" w:fill="FFFFFF"/>
        </w:rPr>
        <w:t>In both Australia and New Zealand adults living in the most socioeconomically deprived areas are more likely to be overweight or obese compared to adults living in the least deprived areas.</w:t>
      </w:r>
    </w:p>
    <w:p w14:paraId="6EB4B134" w14:textId="30336B6E" w:rsidR="00DE6703" w:rsidRPr="00DE6703" w:rsidRDefault="00DE6703" w:rsidP="00BF11FC">
      <w:pPr>
        <w:jc w:val="both"/>
      </w:pPr>
      <w:r w:rsidRPr="00DE6703">
        <w:rPr>
          <w:shd w:val="clear" w:color="auto" w:fill="FFFFFF"/>
        </w:rPr>
        <w:t>Excess weight is</w:t>
      </w:r>
      <w:r>
        <w:rPr>
          <w:shd w:val="clear" w:color="auto" w:fill="FFFFFF"/>
        </w:rPr>
        <w:t xml:space="preserve"> also a problem for children. </w:t>
      </w:r>
      <w:r w:rsidRPr="00DE6703">
        <w:rPr>
          <w:shd w:val="clear" w:color="auto" w:fill="FFFFFF"/>
        </w:rPr>
        <w:t>In 2018/19, 31% of New Zealand children were classified as overweight or obese</w:t>
      </w:r>
      <w:r w:rsidRPr="00DE6703">
        <w:rPr>
          <w:shd w:val="clear" w:color="auto" w:fill="FFFFFF"/>
          <w:vertAlign w:val="superscript"/>
        </w:rPr>
        <w:t>12</w:t>
      </w:r>
      <w:r w:rsidRPr="00DE6703">
        <w:rPr>
          <w:shd w:val="clear" w:color="auto" w:fill="FFFFFF"/>
        </w:rPr>
        <w:t xml:space="preserve">. In </w:t>
      </w:r>
      <w:r>
        <w:rPr>
          <w:shd w:val="clear" w:color="auto" w:fill="FFFFFF"/>
        </w:rPr>
        <w:t>2017/18</w:t>
      </w:r>
      <w:r w:rsidRPr="00DE6703">
        <w:rPr>
          <w:shd w:val="clear" w:color="auto" w:fill="FFFFFF"/>
        </w:rPr>
        <w:t>,</w:t>
      </w:r>
      <w:r>
        <w:rPr>
          <w:shd w:val="clear" w:color="auto" w:fill="FFFFFF"/>
        </w:rPr>
        <w:t xml:space="preserve"> 24.9</w:t>
      </w:r>
      <w:r w:rsidRPr="00DE6703">
        <w:rPr>
          <w:shd w:val="clear" w:color="auto" w:fill="FFFFFF"/>
        </w:rPr>
        <w:t>% of Australian children aged 5-17 years old were classified as overweight or obese</w:t>
      </w:r>
      <w:r w:rsidRPr="00DE6703">
        <w:rPr>
          <w:rStyle w:val="FootnoteReference"/>
          <w:shd w:val="clear" w:color="auto" w:fill="FFFFFF"/>
        </w:rPr>
        <w:footnoteReference w:id="22"/>
      </w:r>
      <w:r w:rsidRPr="00DE6703">
        <w:rPr>
          <w:shd w:val="clear" w:color="auto" w:fill="FFFFFF"/>
        </w:rPr>
        <w:t>.</w:t>
      </w:r>
    </w:p>
    <w:p w14:paraId="7240A567" w14:textId="1A715BFE" w:rsidR="00F72FDA" w:rsidRPr="0028326D" w:rsidRDefault="00F72FDA" w:rsidP="00BF11FC">
      <w:r>
        <w:lastRenderedPageBreak/>
        <w:t>In 2017</w:t>
      </w:r>
      <w:r w:rsidRPr="5887CFCF">
        <w:rPr>
          <w:rStyle w:val="FootnoteReference"/>
        </w:rPr>
        <w:footnoteReference w:id="23"/>
      </w:r>
      <w:r>
        <w:t>, high body mass was the second leading risk factor for disease burden in Aus</w:t>
      </w:r>
      <w:r w:rsidR="004B7E3F">
        <w:t xml:space="preserve">tralia </w:t>
      </w:r>
      <w:r>
        <w:t xml:space="preserve">after smoking. </w:t>
      </w:r>
      <w:r w:rsidR="005A33EB">
        <w:t xml:space="preserve">High body mass index was the third leading risk factor for disease burden in New Zealand, after smoking and dietary risks. </w:t>
      </w:r>
      <w:r>
        <w:t xml:space="preserve">High body mass index accounted for </w:t>
      </w:r>
      <w:r w:rsidR="0095341D">
        <w:t>8.</w:t>
      </w:r>
      <w:r w:rsidR="005A33EB">
        <w:t xml:space="preserve">7% and </w:t>
      </w:r>
      <w:r>
        <w:t>8.</w:t>
      </w:r>
      <w:r w:rsidR="0074345A">
        <w:t>2</w:t>
      </w:r>
      <w:r w:rsidRPr="0028326D">
        <w:t xml:space="preserve">% of total burden of disease in </w:t>
      </w:r>
      <w:r w:rsidR="005A33EB" w:rsidRPr="0028326D">
        <w:t xml:space="preserve">Australia and </w:t>
      </w:r>
      <w:r w:rsidRPr="0028326D">
        <w:t xml:space="preserve">New Zealand </w:t>
      </w:r>
      <w:proofErr w:type="gramStart"/>
      <w:r w:rsidR="005A33EB" w:rsidRPr="0028326D">
        <w:t xml:space="preserve">respectively, </w:t>
      </w:r>
      <w:r w:rsidRPr="0028326D">
        <w:t>and</w:t>
      </w:r>
      <w:proofErr w:type="gramEnd"/>
      <w:r w:rsidRPr="0028326D">
        <w:t xml:space="preserve"> </w:t>
      </w:r>
      <w:r w:rsidRPr="0028326D" w:rsidDel="0074345A">
        <w:t xml:space="preserve">was </w:t>
      </w:r>
      <w:r w:rsidRPr="0028326D">
        <w:t xml:space="preserve">attributed </w:t>
      </w:r>
      <w:r w:rsidRPr="0028326D" w:rsidDel="0074345A">
        <w:t xml:space="preserve">to </w:t>
      </w:r>
      <w:r w:rsidR="005A33EB" w:rsidRPr="0028326D">
        <w:t>close to 20,000 deaths in Australia, and 3,600 deaths in New Zealand</w:t>
      </w:r>
      <w:r w:rsidRPr="0028326D">
        <w:t>.</w:t>
      </w:r>
    </w:p>
    <w:p w14:paraId="07029400" w14:textId="4EAAE421" w:rsidR="005A33EB" w:rsidRDefault="00F81F71" w:rsidP="00F72FDA">
      <w:r w:rsidRPr="0028326D">
        <w:t xml:space="preserve">Poor diet is also a public health priority in Australia and New </w:t>
      </w:r>
      <w:proofErr w:type="gramStart"/>
      <w:r w:rsidRPr="0028326D">
        <w:t>Zealand, and</w:t>
      </w:r>
      <w:proofErr w:type="gramEnd"/>
      <w:r w:rsidRPr="0028326D">
        <w:t xml:space="preserve"> is associated with increased risk of chronic conditions including cardiovascular disease, diabetes and some cancers. </w:t>
      </w:r>
      <w:r w:rsidR="005A33EB" w:rsidRPr="0028326D">
        <w:t>D</w:t>
      </w:r>
      <w:r w:rsidR="00F72FDA" w:rsidRPr="0028326D">
        <w:t>ietary</w:t>
      </w:r>
      <w:r w:rsidR="00F72FDA">
        <w:t xml:space="preserve"> risks</w:t>
      </w:r>
      <w:r w:rsidR="00091E71">
        <w:rPr>
          <w:rStyle w:val="FootnoteReference"/>
        </w:rPr>
        <w:footnoteReference w:id="24"/>
      </w:r>
      <w:r w:rsidR="00F72FDA">
        <w:t xml:space="preserve"> were the third leading risk factor for total burden of disease in Australia in 2017, accounting for 7.</w:t>
      </w:r>
      <w:r w:rsidR="0095341D">
        <w:t>2</w:t>
      </w:r>
      <w:r w:rsidR="00F72FDA">
        <w:t>% of disease burden and</w:t>
      </w:r>
      <w:r w:rsidR="00F72FDA">
        <w:rPr>
          <w:rStyle w:val="CommentReference"/>
        </w:rPr>
        <w:t xml:space="preserve"> </w:t>
      </w:r>
      <w:r w:rsidR="00F72FDA">
        <w:t xml:space="preserve">over </w:t>
      </w:r>
      <w:r w:rsidR="005A33EB">
        <w:t>25</w:t>
      </w:r>
      <w:r w:rsidR="00F72FDA">
        <w:t xml:space="preserve">,000 deaths. </w:t>
      </w:r>
      <w:r w:rsidR="005A33EB">
        <w:t xml:space="preserve">In New Zealand, dietary risks accounted 8.6% of </w:t>
      </w:r>
      <w:r w:rsidR="0074345A">
        <w:t xml:space="preserve">the </w:t>
      </w:r>
      <w:r w:rsidR="005A33EB">
        <w:t xml:space="preserve">total burden of disease and over 5,800 deaths. </w:t>
      </w:r>
    </w:p>
    <w:p w14:paraId="3516463F" w14:textId="1EB6F704" w:rsidR="00F72FDA" w:rsidRDefault="00F72FDA" w:rsidP="00F72FDA">
      <w:r w:rsidRPr="00483BCC">
        <w:t xml:space="preserve">Dietary risks </w:t>
      </w:r>
      <w:r w:rsidR="005A33EB" w:rsidRPr="00483BCC">
        <w:t>were</w:t>
      </w:r>
      <w:r w:rsidRPr="00483BCC">
        <w:t xml:space="preserve"> predominantly attributed to </w:t>
      </w:r>
      <w:r w:rsidRPr="00483BCC" w:rsidDel="0074345A">
        <w:t xml:space="preserve">burden of </w:t>
      </w:r>
      <w:r w:rsidRPr="00483BCC">
        <w:t>disease associa</w:t>
      </w:r>
      <w:r w:rsidR="00483BCC">
        <w:t>ted with cardiovascular disease</w:t>
      </w:r>
      <w:r w:rsidR="00483BCC" w:rsidDel="0074345A">
        <w:t>;</w:t>
      </w:r>
      <w:r w:rsidR="00483BCC">
        <w:t xml:space="preserve"> </w:t>
      </w:r>
      <w:r w:rsidR="00C71A3B" w:rsidRPr="00483BCC">
        <w:t>in Australia, 41</w:t>
      </w:r>
      <w:r w:rsidR="00483BCC" w:rsidRPr="00483BCC">
        <w:t>.</w:t>
      </w:r>
      <w:r w:rsidR="0095341D">
        <w:t>4</w:t>
      </w:r>
      <w:r w:rsidR="00C71A3B" w:rsidRPr="00483BCC">
        <w:t>% of the</w:t>
      </w:r>
      <w:r w:rsidRPr="00483BCC">
        <w:t xml:space="preserve"> </w:t>
      </w:r>
      <w:r w:rsidR="00C71A3B" w:rsidRPr="00483BCC">
        <w:t xml:space="preserve">disease </w:t>
      </w:r>
      <w:r w:rsidRPr="00483BCC">
        <w:t xml:space="preserve">burden from cardiovascular disease </w:t>
      </w:r>
      <w:r w:rsidR="00C71A3B" w:rsidRPr="00483BCC">
        <w:t>was attributed to dietary risks and</w:t>
      </w:r>
      <w:r w:rsidR="0074345A">
        <w:t>,</w:t>
      </w:r>
      <w:r w:rsidR="00C71A3B" w:rsidRPr="00483BCC">
        <w:t xml:space="preserve"> 45%</w:t>
      </w:r>
      <w:r w:rsidR="00C71A3B" w:rsidRPr="00483BCC" w:rsidDel="0074345A">
        <w:t xml:space="preserve"> for New Zealand</w:t>
      </w:r>
      <w:r w:rsidR="00483BCC">
        <w:t>. Dietary risks were also attributed to</w:t>
      </w:r>
      <w:r w:rsidRPr="00483BCC">
        <w:t xml:space="preserve"> diabetes, and kidney disease (</w:t>
      </w:r>
      <w:r w:rsidR="00483BCC" w:rsidRPr="00483BCC">
        <w:t>24.7% risk factor at</w:t>
      </w:r>
      <w:r w:rsidR="00DE5FE6">
        <w:t>tribution for Australia and 27.</w:t>
      </w:r>
      <w:r w:rsidR="00483BCC" w:rsidRPr="00483BCC" w:rsidDel="002A56BC">
        <w:t>2</w:t>
      </w:r>
      <w:r w:rsidR="00483BCC" w:rsidRPr="00483BCC">
        <w:t>% fo</w:t>
      </w:r>
      <w:r w:rsidR="0095341D">
        <w:t>r New Zealand) and cancers (6.1</w:t>
      </w:r>
      <w:r w:rsidR="00483BCC" w:rsidRPr="00483BCC">
        <w:t>% risk factor attribution for Australia 7.5% for New Zealand</w:t>
      </w:r>
      <w:r w:rsidR="00483BCC">
        <w:t xml:space="preserve">). </w:t>
      </w:r>
    </w:p>
    <w:p w14:paraId="4657805D" w14:textId="7EA26C8C" w:rsidR="00324F79" w:rsidRDefault="003B5AE9" w:rsidP="003B5AE9">
      <w:pPr>
        <w:pStyle w:val="Heading3"/>
      </w:pPr>
      <w:bookmarkStart w:id="35" w:name="_Toc49506060"/>
      <w:bookmarkStart w:id="36" w:name="_Toc49506908"/>
      <w:bookmarkStart w:id="37" w:name="_Toc54273221"/>
      <w:r>
        <w:t>Approaches for improving</w:t>
      </w:r>
      <w:r w:rsidR="00324F79">
        <w:t xml:space="preserve"> population dietary patterns and nutrient intakes</w:t>
      </w:r>
      <w:bookmarkEnd w:id="35"/>
      <w:bookmarkEnd w:id="36"/>
      <w:bookmarkEnd w:id="37"/>
    </w:p>
    <w:p w14:paraId="75C8E88F" w14:textId="3A47F6EC" w:rsidR="00F72FDA" w:rsidRDefault="00F72FDA" w:rsidP="00F72FDA">
      <w:r>
        <w:t xml:space="preserve">The above </w:t>
      </w:r>
      <w:r w:rsidR="00216C16">
        <w:t xml:space="preserve">information </w:t>
      </w:r>
      <w:r>
        <w:t xml:space="preserve">highlights the importance of </w:t>
      </w:r>
      <w:r w:rsidR="0017441A">
        <w:t xml:space="preserve">addressing </w:t>
      </w:r>
      <w:r w:rsidR="00324F79">
        <w:t>overweight and obesity</w:t>
      </w:r>
      <w:r w:rsidR="0017441A">
        <w:t>,</w:t>
      </w:r>
      <w:r w:rsidR="00324F79">
        <w:t xml:space="preserve"> and poor dietary patterns </w:t>
      </w:r>
      <w:r w:rsidR="00324F79" w:rsidDel="0017441A">
        <w:t xml:space="preserve">to improve population health outcomes </w:t>
      </w:r>
      <w:r w:rsidR="003B5AE9">
        <w:t xml:space="preserve">in Australia and New Zealand </w:t>
      </w:r>
      <w:r w:rsidR="00324F79" w:rsidDel="0017441A">
        <w:t>and</w:t>
      </w:r>
      <w:r w:rsidDel="0017441A">
        <w:t xml:space="preserve"> </w:t>
      </w:r>
      <w:r>
        <w:t xml:space="preserve">reduce premature </w:t>
      </w:r>
      <w:r w:rsidR="002B00B0">
        <w:t>morbidity and mortality</w:t>
      </w:r>
      <w:r>
        <w:t xml:space="preserve">. </w:t>
      </w:r>
    </w:p>
    <w:p w14:paraId="216EB928" w14:textId="05D6AE87" w:rsidR="003B5AE9" w:rsidRDefault="003B5AE9" w:rsidP="003B5AE9">
      <w:r>
        <w:t xml:space="preserve">The importance of improving dietary intakes and reducing the burden of diet-related non-communicable disease is globally recognised, including </w:t>
      </w:r>
      <w:r w:rsidR="00BB74B5">
        <w:t xml:space="preserve">by </w:t>
      </w:r>
      <w:r>
        <w:t xml:space="preserve">the World Health Organization (WHO) and Food and Agriculture Organization (FAO) Second International Conference on Nutrition (ICN2) organised in 2014. The ICN2 called for action to address all forms of malnutrition, including undernutrition, overweight/obesity and diet-related non-communicable diseases. This objective was </w:t>
      </w:r>
      <w:r w:rsidDel="00CB2649">
        <w:t xml:space="preserve">also </w:t>
      </w:r>
      <w:r>
        <w:t>adopted</w:t>
      </w:r>
      <w:r w:rsidR="00CB2649">
        <w:t xml:space="preserve"> </w:t>
      </w:r>
      <w:r>
        <w:t>through the United Nations Sustainable Development Goals (SDGs)</w:t>
      </w:r>
      <w:r w:rsidDel="00CB2649">
        <w:t xml:space="preserve"> in 2015</w:t>
      </w:r>
      <w:r>
        <w:t>.</w:t>
      </w:r>
    </w:p>
    <w:p w14:paraId="3FC77521" w14:textId="79AF5A38" w:rsidR="003B5AE9" w:rsidRDefault="003B5AE9" w:rsidP="5887CFCF">
      <w:r>
        <w:t>The WHO</w:t>
      </w:r>
      <w:r w:rsidRPr="00F53494">
        <w:rPr>
          <w:rStyle w:val="FootnoteReference"/>
          <w:iCs/>
        </w:rPr>
        <w:footnoteReference w:id="25"/>
      </w:r>
      <w:r w:rsidRPr="00F53494">
        <w:t xml:space="preserve"> </w:t>
      </w:r>
      <w:r>
        <w:t xml:space="preserve">recently published a compendium of nutrition interventions to support countries to develop multi-sectorial action plans to improve nutrition and reduce diet-related risk factors. </w:t>
      </w:r>
      <w:r w:rsidDel="0057499E">
        <w:t>As part of this document, t</w:t>
      </w:r>
      <w:r>
        <w:t xml:space="preserve">he WHO identified the need to create healthy food environments that enable people to adopt and maintain healthy dietary practices. </w:t>
      </w:r>
      <w:r w:rsidR="00597602">
        <w:t>Encouraging</w:t>
      </w:r>
      <w:r>
        <w:t xml:space="preserve"> reformulation </w:t>
      </w:r>
      <w:r w:rsidR="00597602">
        <w:t>(</w:t>
      </w:r>
      <w:proofErr w:type="gramStart"/>
      <w:r w:rsidR="00597602">
        <w:t>i.e.</w:t>
      </w:r>
      <w:proofErr w:type="gramEnd"/>
      <w:r w:rsidR="00597602">
        <w:t xml:space="preserve"> changing the composition) </w:t>
      </w:r>
      <w:r>
        <w:t xml:space="preserve">of foods to reduce the content of saturated fats, trans fats, free/added sugars and salt/sodium is </w:t>
      </w:r>
      <w:r w:rsidDel="0057499E">
        <w:t xml:space="preserve">identified </w:t>
      </w:r>
      <w:r>
        <w:t xml:space="preserve">by the </w:t>
      </w:r>
      <w:r w:rsidRPr="0028326D">
        <w:t>WHO as</w:t>
      </w:r>
      <w:r w:rsidR="00E078B2" w:rsidRPr="0028326D">
        <w:t xml:space="preserve"> one of the</w:t>
      </w:r>
      <w:r w:rsidRPr="0028326D">
        <w:t xml:space="preserve"> </w:t>
      </w:r>
      <w:r w:rsidRPr="0028326D" w:rsidDel="00A518E5">
        <w:t xml:space="preserve">key </w:t>
      </w:r>
      <w:r w:rsidRPr="0028326D">
        <w:t>action</w:t>
      </w:r>
      <w:r w:rsidR="00E078B2" w:rsidRPr="0028326D">
        <w:t>s</w:t>
      </w:r>
      <w:r w:rsidRPr="0028326D">
        <w:t xml:space="preserve"> for implementation.</w:t>
      </w:r>
      <w:r>
        <w:t xml:space="preserve"> </w:t>
      </w:r>
      <w:r w:rsidR="0014606B">
        <w:t>Other key activities to create healthy food environments identified by the WHO include providing education on healthy diets, restricting marketing of unhealthy foods and drinks to children</w:t>
      </w:r>
      <w:r w:rsidR="006622D3">
        <w:t>,</w:t>
      </w:r>
      <w:r w:rsidR="0014606B">
        <w:t xml:space="preserve"> and supporting point of sale information through nutrition labelling with the addition of front-of-pack labelling to facilitate consumer understanding. These activities are occurring in Australia and New Zealand, for example </w:t>
      </w:r>
      <w:r w:rsidR="0014606B">
        <w:lastRenderedPageBreak/>
        <w:t>through nutrition labelling in the Australia and New Zealand Food Standards Code and through the H</w:t>
      </w:r>
      <w:r w:rsidR="006622D3">
        <w:t>SR</w:t>
      </w:r>
      <w:r w:rsidR="0014606B">
        <w:t xml:space="preserve"> interpretive front</w:t>
      </w:r>
      <w:r w:rsidR="002578AD">
        <w:t>-</w:t>
      </w:r>
      <w:r w:rsidR="0014606B">
        <w:t>of</w:t>
      </w:r>
      <w:r w:rsidR="002578AD">
        <w:t>-</w:t>
      </w:r>
      <w:r w:rsidR="0014606B">
        <w:t xml:space="preserve">pack labelling system. </w:t>
      </w:r>
    </w:p>
    <w:p w14:paraId="0F465982" w14:textId="55109B88" w:rsidR="003B5AE9" w:rsidDel="005A3678" w:rsidRDefault="00F53494" w:rsidP="003B5AE9">
      <w:r>
        <w:t>Improving the</w:t>
      </w:r>
      <w:r w:rsidR="27FB9658">
        <w:t xml:space="preserve"> nutrient composition of processed foods has health benefits for everyone</w:t>
      </w:r>
      <w:r w:rsidR="003B5AE9">
        <w:t xml:space="preserve"> and the evidence indicates that progressive, incremental changes to food composition is the best approach, to allow for consumer taste preferences to adapt</w:t>
      </w:r>
      <w:r w:rsidR="003B5AE9" w:rsidRPr="2CF3C489">
        <w:rPr>
          <w:rStyle w:val="FootnoteReference"/>
        </w:rPr>
        <w:footnoteReference w:id="26"/>
      </w:r>
      <w:r w:rsidR="003B5AE9">
        <w:t xml:space="preserve">. </w:t>
      </w:r>
    </w:p>
    <w:p w14:paraId="09A9F3BD" w14:textId="60D9BFB9" w:rsidR="002E4553" w:rsidRPr="008E12B1" w:rsidRDefault="002E4553" w:rsidP="002E4553">
      <w:r w:rsidDel="005A3678">
        <w:t xml:space="preserve">Evidence indicates that reformulation is cost-effective compared to other approaches for improving population dietary patterns and addressing overweight and obesity. </w:t>
      </w:r>
      <w:r>
        <w:t>An economic analysis of approaches for addressing obesity undertaken by the McKinsey Global Institute</w:t>
      </w:r>
      <w:r>
        <w:rPr>
          <w:rStyle w:val="FootnoteReference"/>
        </w:rPr>
        <w:footnoteReference w:id="27"/>
      </w:r>
      <w:r>
        <w:t xml:space="preserve"> identified that reformulation is one of the most cost-effective approaches to addressing obesity, ranked only second to portion control </w:t>
      </w:r>
      <w:r w:rsidDel="005A3678">
        <w:t xml:space="preserve">in the cost-effectiveness of </w:t>
      </w:r>
      <w:r>
        <w:t xml:space="preserve">interventions assessed. </w:t>
      </w:r>
    </w:p>
    <w:p w14:paraId="021C229F" w14:textId="351CBFD5" w:rsidR="002E4553" w:rsidRDefault="00E934CA" w:rsidP="005D23AE">
      <w:bookmarkStart w:id="38" w:name="_Hlk47524388"/>
      <w:r>
        <w:t>The potential benefit</w:t>
      </w:r>
      <w:r w:rsidR="00F03803">
        <w:t>s</w:t>
      </w:r>
      <w:r>
        <w:t xml:space="preserve"> of foo</w:t>
      </w:r>
      <w:r w:rsidR="00443343">
        <w:t>d reformulation are</w:t>
      </w:r>
      <w:r>
        <w:t xml:space="preserve"> also recognised </w:t>
      </w:r>
      <w:r w:rsidDel="003A65F6">
        <w:t>more locally</w:t>
      </w:r>
      <w:r w:rsidR="00216C16">
        <w:t>.</w:t>
      </w:r>
      <w:r w:rsidR="525E2A0B">
        <w:t xml:space="preserve"> A</w:t>
      </w:r>
      <w:r w:rsidR="005D23AE">
        <w:t xml:space="preserve"> 2019 report</w:t>
      </w:r>
      <w:r w:rsidR="005D23AE">
        <w:rPr>
          <w:rStyle w:val="FootnoteReference"/>
        </w:rPr>
        <w:footnoteReference w:id="28"/>
      </w:r>
      <w:r w:rsidR="005D23AE">
        <w:t xml:space="preserve"> prepared for Queensland Health on population-level strategies to support healthy weight found that mandatory limits on nutrients of concern (</w:t>
      </w:r>
      <w:proofErr w:type="gramStart"/>
      <w:r w:rsidR="005D23AE">
        <w:t>e.g.</w:t>
      </w:r>
      <w:proofErr w:type="gramEnd"/>
      <w:r w:rsidR="005D23AE">
        <w:t xml:space="preserve"> </w:t>
      </w:r>
      <w:r w:rsidR="2A902617">
        <w:t xml:space="preserve">saturated fat, </w:t>
      </w:r>
      <w:r w:rsidR="005D23AE">
        <w:t>trans fat</w:t>
      </w:r>
      <w:r w:rsidR="045C714B">
        <w:t>s</w:t>
      </w:r>
      <w:r w:rsidR="00973752">
        <w:t>, sodium</w:t>
      </w:r>
      <w:r w:rsidR="005D23AE">
        <w:t xml:space="preserve">, added sugars) in foods and targeted food categories (including packaged foods and out-of-home meals) </w:t>
      </w:r>
      <w:r w:rsidR="49FA7296" w:rsidRPr="00F53494">
        <w:t>are</w:t>
      </w:r>
      <w:r w:rsidR="005D23AE" w:rsidRPr="00F53494">
        <w:t xml:space="preserve"> likely</w:t>
      </w:r>
      <w:r w:rsidR="005D23AE">
        <w:t xml:space="preserve"> to have a favourable effect on the population’s dietary intake, prove cost-effective, and reduce inequalities related to obesity. </w:t>
      </w:r>
    </w:p>
    <w:p w14:paraId="46E52B5C" w14:textId="57251918" w:rsidR="00F53494" w:rsidRDefault="00C77B17" w:rsidP="00F53494">
      <w:bookmarkStart w:id="39" w:name="_Hlk47525226"/>
      <w:bookmarkEnd w:id="38"/>
      <w:r>
        <w:t>In 2015 t</w:t>
      </w:r>
      <w:r w:rsidR="00B5424A">
        <w:t>he Burden of Disease Epidemiology, Equity and Cost-effectiveness Programme (BODE</w:t>
      </w:r>
      <w:r w:rsidR="00B5424A">
        <w:rPr>
          <w:vertAlign w:val="superscript"/>
        </w:rPr>
        <w:t>3</w:t>
      </w:r>
      <w:r w:rsidR="00B5424A">
        <w:t xml:space="preserve">) </w:t>
      </w:r>
      <w:r w:rsidR="00971B6F">
        <w:t xml:space="preserve">modelled </w:t>
      </w:r>
      <w:r>
        <w:t xml:space="preserve">and compared the impact of eight sodium reduction interventions in New Zealand. Of the most feasible </w:t>
      </w:r>
      <w:r w:rsidR="001F01E9">
        <w:t>interventions,</w:t>
      </w:r>
      <w:r>
        <w:t xml:space="preserve"> they estimated the largest health gains were obtained from a mandatory 25% reduction in sodium levels in all processed food </w:t>
      </w:r>
      <w:r w:rsidR="00F53494">
        <w:t>(o</w:t>
      </w:r>
      <w:r>
        <w:t xml:space="preserve">ther interventions </w:t>
      </w:r>
      <w:r w:rsidR="00756AD4">
        <w:t xml:space="preserve">included </w:t>
      </w:r>
      <w:r>
        <w:t>media campaigns, dietary counselling and labelling)</w:t>
      </w:r>
      <w:r>
        <w:rPr>
          <w:rStyle w:val="FootnoteReference"/>
        </w:rPr>
        <w:footnoteReference w:id="29"/>
      </w:r>
      <w:r>
        <w:t xml:space="preserve">. </w:t>
      </w:r>
      <w:bookmarkEnd w:id="39"/>
    </w:p>
    <w:p w14:paraId="3EBD5402" w14:textId="6BA30FF7" w:rsidR="003978BD" w:rsidRDefault="003978BD" w:rsidP="009A66FA">
      <w:pPr>
        <w:pStyle w:val="Heading3"/>
      </w:pPr>
      <w:bookmarkStart w:id="40" w:name="_Toc49506061"/>
      <w:bookmarkStart w:id="41" w:name="_Toc49506909"/>
      <w:bookmarkStart w:id="42" w:name="_Toc54273222"/>
      <w:r>
        <w:t xml:space="preserve">Rationale for </w:t>
      </w:r>
      <w:r w:rsidR="00597602">
        <w:t xml:space="preserve">improving the composition of the food </w:t>
      </w:r>
      <w:r w:rsidR="00E94079">
        <w:t xml:space="preserve">supply </w:t>
      </w:r>
      <w:r>
        <w:t>compared to other approaches to improving population dietary patterns</w:t>
      </w:r>
      <w:bookmarkEnd w:id="40"/>
      <w:bookmarkEnd w:id="41"/>
      <w:bookmarkEnd w:id="42"/>
    </w:p>
    <w:p w14:paraId="6FD39F9D" w14:textId="57E119D7" w:rsidR="00F03803" w:rsidRDefault="00216C16" w:rsidP="002C50DE">
      <w:r>
        <w:t>I</w:t>
      </w:r>
      <w:r w:rsidR="00F03803">
        <w:t xml:space="preserve">mproving population dietary patterns and reducing risk factors for diet-related non-communicable conditions requires a multi-faceted approach, engaging </w:t>
      </w:r>
      <w:r w:rsidR="00B10585">
        <w:t>actors</w:t>
      </w:r>
      <w:r w:rsidR="00F03803">
        <w:t xml:space="preserve"> within and outside the health sector, and using a </w:t>
      </w:r>
      <w:r w:rsidR="00B10585">
        <w:t>range</w:t>
      </w:r>
      <w:r w:rsidR="00F03803">
        <w:t xml:space="preserve"> of complementary actions</w:t>
      </w:r>
      <w:r w:rsidR="00F03803">
        <w:rPr>
          <w:rStyle w:val="FootnoteReference"/>
        </w:rPr>
        <w:footnoteReference w:id="30"/>
      </w:r>
      <w:r w:rsidR="00F03803">
        <w:t>.</w:t>
      </w:r>
    </w:p>
    <w:p w14:paraId="34DB9E82" w14:textId="3E86CABB" w:rsidR="00571C5D" w:rsidRDefault="003978BD" w:rsidP="002C50DE">
      <w:r>
        <w:t>While other actions to improve dietary patterns in Australia and New Zealand are underway, improv</w:t>
      </w:r>
      <w:r w:rsidR="23BF8E0D">
        <w:t>ing</w:t>
      </w:r>
      <w:r>
        <w:t xml:space="preserve"> the healthfulness of the food supply </w:t>
      </w:r>
      <w:r w:rsidR="0DCFB3DE">
        <w:t>through</w:t>
      </w:r>
      <w:r w:rsidR="00DB29B4">
        <w:t xml:space="preserve"> changing food</w:t>
      </w:r>
      <w:r w:rsidR="0DCFB3DE">
        <w:t xml:space="preserve"> </w:t>
      </w:r>
      <w:r w:rsidR="0034596C">
        <w:t xml:space="preserve">composition </w:t>
      </w:r>
      <w:r>
        <w:t xml:space="preserve">offers </w:t>
      </w:r>
      <w:proofErr w:type="gramStart"/>
      <w:r>
        <w:t>particular advantages</w:t>
      </w:r>
      <w:proofErr w:type="gramEnd"/>
      <w:r>
        <w:t xml:space="preserve">. </w:t>
      </w:r>
      <w:bookmarkStart w:id="43" w:name="_Hlk47525444"/>
      <w:r w:rsidR="00DB29B4">
        <w:t>For example</w:t>
      </w:r>
      <w:r w:rsidR="00436221">
        <w:t>,</w:t>
      </w:r>
      <w:r w:rsidR="00443343">
        <w:t xml:space="preserve"> </w:t>
      </w:r>
      <w:r w:rsidR="0034596C">
        <w:t xml:space="preserve">compositional changes </w:t>
      </w:r>
      <w:r w:rsidR="00571C5D">
        <w:t xml:space="preserve">can support sustained public health benefits </w:t>
      </w:r>
      <w:r w:rsidR="00571C5D" w:rsidRPr="0028326D">
        <w:t xml:space="preserve">without requiring consumers to change their behaviour. </w:t>
      </w:r>
      <w:bookmarkStart w:id="44" w:name="_Hlk47525602"/>
      <w:bookmarkEnd w:id="43"/>
      <w:r w:rsidR="00F63556" w:rsidRPr="0028326D">
        <w:t xml:space="preserve">Behaviour change </w:t>
      </w:r>
      <w:r w:rsidR="00F63556" w:rsidRPr="0028326D">
        <w:lastRenderedPageBreak/>
        <w:t xml:space="preserve">interventions may not </w:t>
      </w:r>
      <w:r w:rsidR="00793485" w:rsidRPr="0028326D">
        <w:t>be</w:t>
      </w:r>
      <w:r w:rsidR="00E078B2" w:rsidRPr="0028326D">
        <w:t xml:space="preserve"> equally</w:t>
      </w:r>
      <w:r w:rsidR="00793485" w:rsidRPr="0028326D">
        <w:t xml:space="preserve"> </w:t>
      </w:r>
      <w:r w:rsidR="00DF7049" w:rsidRPr="0028326D">
        <w:t>effective</w:t>
      </w:r>
      <w:r w:rsidR="00DF7049">
        <w:t xml:space="preserve"> across all population groups, particularly lower</w:t>
      </w:r>
      <w:r w:rsidR="00793485">
        <w:t xml:space="preserve"> educated or</w:t>
      </w:r>
      <w:r w:rsidR="00DF7049">
        <w:t xml:space="preserve"> disadvantaged groups</w:t>
      </w:r>
      <w:r w:rsidR="00DF7049">
        <w:rPr>
          <w:rStyle w:val="FootnoteReference"/>
        </w:rPr>
        <w:footnoteReference w:id="31"/>
      </w:r>
      <w:r w:rsidR="00DF7049">
        <w:t>, a</w:t>
      </w:r>
      <w:r w:rsidR="00F63556">
        <w:t>nd there is limited literature on the effectiveness of interventions that promote long-term maintenance of dietary behaviour change</w:t>
      </w:r>
      <w:r w:rsidR="00F63556">
        <w:rPr>
          <w:rStyle w:val="FootnoteReference"/>
        </w:rPr>
        <w:footnoteReference w:id="32"/>
      </w:r>
      <w:r w:rsidR="00F63556">
        <w:t xml:space="preserve">. </w:t>
      </w:r>
      <w:r w:rsidR="00675834">
        <w:t>A Cochrane systematic review on reducing dietary salt intake for the prevention of cardiovascular disease made similar conclusions, reporting that dietary advice to individuals abo</w:t>
      </w:r>
      <w:r w:rsidR="00C521B5">
        <w:t>ut limiting salt intake was only moderately effective</w:t>
      </w:r>
      <w:r w:rsidR="00675834">
        <w:t xml:space="preserve"> and that </w:t>
      </w:r>
      <w:r w:rsidR="00C521B5">
        <w:t>population level strategies which</w:t>
      </w:r>
      <w:r w:rsidR="00675834">
        <w:t xml:space="preserve"> do not require indiv</w:t>
      </w:r>
      <w:r w:rsidR="00C521B5">
        <w:t>idual behaviour change offer greater potential</w:t>
      </w:r>
      <w:r w:rsidR="00675834">
        <w:rPr>
          <w:rStyle w:val="FootnoteReference"/>
        </w:rPr>
        <w:footnoteReference w:id="33"/>
      </w:r>
      <w:r w:rsidR="00C521B5">
        <w:t xml:space="preserve">. </w:t>
      </w:r>
    </w:p>
    <w:bookmarkEnd w:id="44"/>
    <w:p w14:paraId="15D67DB4" w14:textId="2FA3242D" w:rsidR="0066657D" w:rsidRDefault="00DB29B4" w:rsidP="12FB3F5C">
      <w:r>
        <w:t>Improving f</w:t>
      </w:r>
      <w:r w:rsidR="0034596C">
        <w:t>ood composition</w:t>
      </w:r>
      <w:r>
        <w:t xml:space="preserve"> </w:t>
      </w:r>
      <w:r w:rsidR="00635481">
        <w:t xml:space="preserve">can </w:t>
      </w:r>
      <w:r w:rsidR="00B92CA0">
        <w:t xml:space="preserve">also </w:t>
      </w:r>
      <w:r w:rsidR="00DB5B45">
        <w:t xml:space="preserve">potentially </w:t>
      </w:r>
      <w:r w:rsidR="00635481">
        <w:t>offer</w:t>
      </w:r>
      <w:r w:rsidR="00F46710">
        <w:t xml:space="preserve"> an equitable approach where </w:t>
      </w:r>
      <w:r w:rsidR="00443343">
        <w:t xml:space="preserve">the benefits </w:t>
      </w:r>
      <w:r w:rsidR="00DB5B45">
        <w:t>of</w:t>
      </w:r>
      <w:r w:rsidR="0066657D">
        <w:t xml:space="preserve"> a</w:t>
      </w:r>
      <w:r w:rsidR="00DB5B45">
        <w:t xml:space="preserve"> healthier food supply </w:t>
      </w:r>
      <w:r w:rsidR="00443343">
        <w:t xml:space="preserve">can be accessed by </w:t>
      </w:r>
      <w:proofErr w:type="gramStart"/>
      <w:r w:rsidR="00443343">
        <w:t xml:space="preserve">a </w:t>
      </w:r>
      <w:r w:rsidR="00B12D95">
        <w:t>large number of</w:t>
      </w:r>
      <w:proofErr w:type="gramEnd"/>
      <w:r w:rsidR="00B12D95">
        <w:t xml:space="preserve"> consumers</w:t>
      </w:r>
      <w:r w:rsidR="00B12D95">
        <w:rPr>
          <w:rStyle w:val="FootnoteReference"/>
        </w:rPr>
        <w:footnoteReference w:id="34"/>
      </w:r>
      <w:r w:rsidR="006A39B0">
        <w:t xml:space="preserve">. </w:t>
      </w:r>
      <w:r w:rsidR="00E7720F">
        <w:t>There is currently variability in the nutritional composition of similar food items</w:t>
      </w:r>
      <w:r w:rsidR="00CF0DFE">
        <w:rPr>
          <w:rStyle w:val="FootnoteReference"/>
        </w:rPr>
        <w:footnoteReference w:id="35"/>
      </w:r>
      <w:r w:rsidR="00FF1652">
        <w:rPr>
          <w:vertAlign w:val="superscript"/>
        </w:rPr>
        <w:t>,</w:t>
      </w:r>
      <w:r w:rsidR="00FF1652">
        <w:rPr>
          <w:rStyle w:val="FootnoteReference"/>
        </w:rPr>
        <w:footnoteReference w:id="36"/>
      </w:r>
      <w:r w:rsidR="000D6932" w:rsidRPr="00A4073C">
        <w:rPr>
          <w:vertAlign w:val="superscript"/>
        </w:rPr>
        <w:t>,</w:t>
      </w:r>
      <w:r w:rsidR="000D6932">
        <w:rPr>
          <w:rStyle w:val="FootnoteReference"/>
        </w:rPr>
        <w:footnoteReference w:id="37"/>
      </w:r>
      <w:r w:rsidR="00CB4A4D">
        <w:t xml:space="preserve"> </w:t>
      </w:r>
      <w:r w:rsidR="00E7720F">
        <w:t>and</w:t>
      </w:r>
      <w:r w:rsidR="006A39B0">
        <w:t xml:space="preserve"> consumers are required to read and interpret food/nutrition</w:t>
      </w:r>
      <w:r w:rsidR="00E7720F">
        <w:t xml:space="preserve"> label information</w:t>
      </w:r>
      <w:r w:rsidR="006A39B0">
        <w:t xml:space="preserve"> to identify healthier products</w:t>
      </w:r>
      <w:r w:rsidR="00CB4A4D">
        <w:t xml:space="preserve"> (if it is a pack</w:t>
      </w:r>
      <w:r w:rsidR="00BA301C">
        <w:t>ag</w:t>
      </w:r>
      <w:r w:rsidR="00CB4A4D">
        <w:t>ed food that displays a label)</w:t>
      </w:r>
      <w:r w:rsidR="00E7720F">
        <w:t xml:space="preserve">. Reading and interpreting food labels </w:t>
      </w:r>
      <w:r w:rsidR="006A39B0">
        <w:t>involves a level of</w:t>
      </w:r>
      <w:r w:rsidR="00F72A89">
        <w:t xml:space="preserve"> s</w:t>
      </w:r>
      <w:r w:rsidR="006A39B0">
        <w:t>kill</w:t>
      </w:r>
      <w:r w:rsidR="00F72A89">
        <w:t xml:space="preserve">, </w:t>
      </w:r>
      <w:r w:rsidR="00F46710">
        <w:t>motivation</w:t>
      </w:r>
      <w:r w:rsidR="00443343">
        <w:t xml:space="preserve"> and knowledge</w:t>
      </w:r>
      <w:r w:rsidR="00F72A89">
        <w:rPr>
          <w:rStyle w:val="FootnoteReference"/>
        </w:rPr>
        <w:footnoteReference w:id="38"/>
      </w:r>
      <w:r w:rsidR="00F72A89" w:rsidRPr="007A0BDC">
        <w:rPr>
          <w:vertAlign w:val="superscript"/>
        </w:rPr>
        <w:t>,</w:t>
      </w:r>
      <w:r w:rsidR="00F72A89">
        <w:rPr>
          <w:rStyle w:val="FootnoteReference"/>
        </w:rPr>
        <w:footnoteReference w:id="39"/>
      </w:r>
      <w:r w:rsidR="006A39B0">
        <w:t xml:space="preserve"> which is not </w:t>
      </w:r>
      <w:r w:rsidR="007A0BDC">
        <w:t>available to</w:t>
      </w:r>
      <w:r w:rsidR="006A39B0">
        <w:t xml:space="preserve"> everyone</w:t>
      </w:r>
      <w:r w:rsidR="00443343">
        <w:t xml:space="preserve">. </w:t>
      </w:r>
      <w:r w:rsidR="006A39B0">
        <w:t>N</w:t>
      </w:r>
      <w:r w:rsidR="00F72A89">
        <w:t>ot all consumers use food/nutrition label information</w:t>
      </w:r>
      <w:r w:rsidR="007A0BDC">
        <w:t xml:space="preserve"> (or use it correctly)</w:t>
      </w:r>
      <w:r w:rsidR="007A0BDC">
        <w:rPr>
          <w:rStyle w:val="FootnoteReference"/>
        </w:rPr>
        <w:footnoteReference w:id="40"/>
      </w:r>
      <w:r w:rsidR="00BB158C" w:rsidRPr="00BB158C">
        <w:rPr>
          <w:vertAlign w:val="superscript"/>
        </w:rPr>
        <w:t>,</w:t>
      </w:r>
      <w:r w:rsidR="007A0BDC">
        <w:rPr>
          <w:rStyle w:val="FootnoteReference"/>
        </w:rPr>
        <w:footnoteReference w:id="41"/>
      </w:r>
      <w:r w:rsidR="00F72A89">
        <w:t xml:space="preserve"> when selecting foods to purchase </w:t>
      </w:r>
      <w:r w:rsidR="0066657D">
        <w:t>or</w:t>
      </w:r>
      <w:r w:rsidR="00F72A89">
        <w:t xml:space="preserve"> consume</w:t>
      </w:r>
      <w:r w:rsidR="209C3C27">
        <w:t>,</w:t>
      </w:r>
      <w:r w:rsidR="00F72A89">
        <w:t xml:space="preserve"> an</w:t>
      </w:r>
      <w:r w:rsidR="0066657D">
        <w:t>d</w:t>
      </w:r>
      <w:r w:rsidR="00F72A89">
        <w:t xml:space="preserve"> o</w:t>
      </w:r>
      <w:r w:rsidR="00F72A89" w:rsidRPr="00BC587F">
        <w:t>lder consumers,</w:t>
      </w:r>
      <w:r w:rsidR="2C821E51">
        <w:t xml:space="preserve"> or</w:t>
      </w:r>
      <w:r w:rsidR="00F72A89" w:rsidRPr="00BC587F">
        <w:t xml:space="preserve"> those with lower levels of education and income</w:t>
      </w:r>
      <w:r w:rsidR="11BA2373">
        <w:t>,</w:t>
      </w:r>
      <w:r w:rsidR="00F72A89" w:rsidRPr="00BC587F">
        <w:t xml:space="preserve"> have the greatest difficulty interpreting nutrition labels</w:t>
      </w:r>
      <w:r w:rsidR="00F72A89" w:rsidRPr="00282CFC">
        <w:rPr>
          <w:vertAlign w:val="superscript"/>
        </w:rPr>
        <w:footnoteReference w:id="42"/>
      </w:r>
      <w:r w:rsidR="00F72A89" w:rsidRPr="00BC587F">
        <w:t>.</w:t>
      </w:r>
      <w:r w:rsidR="00BF11FC">
        <w:t xml:space="preserve"> </w:t>
      </w:r>
      <w:r w:rsidR="00CF41E5">
        <w:t xml:space="preserve">Improving the composition of the food supply </w:t>
      </w:r>
      <w:r w:rsidR="089D5772">
        <w:t>has</w:t>
      </w:r>
      <w:r w:rsidR="00CF41E5">
        <w:t xml:space="preserve"> </w:t>
      </w:r>
      <w:r w:rsidR="00BA301C">
        <w:t xml:space="preserve">the </w:t>
      </w:r>
      <w:r w:rsidR="00CF41E5">
        <w:t>potential to overcome this barrier</w:t>
      </w:r>
      <w:r w:rsidR="002A7362">
        <w:t xml:space="preserve"> (in </w:t>
      </w:r>
      <w:r w:rsidR="002A7362">
        <w:lastRenderedPageBreak/>
        <w:t>addition to the implementation of the HSR front-of pack system which is designed to support consumers to easily identify healthier food options within product categories. However</w:t>
      </w:r>
      <w:r w:rsidR="00436221">
        <w:t>,</w:t>
      </w:r>
      <w:r w:rsidR="002A7362">
        <w:t xml:space="preserve"> the HSR system is currently voluntary and not adopted consistently across product categories)</w:t>
      </w:r>
      <w:r w:rsidR="1EF29487">
        <w:t xml:space="preserve">. </w:t>
      </w:r>
      <w:r w:rsidR="36DFB4F1">
        <w:t>People</w:t>
      </w:r>
      <w:r w:rsidR="0066657D">
        <w:t xml:space="preserve"> w</w:t>
      </w:r>
      <w:r w:rsidR="003B3A96">
        <w:t>ith lower education and income c</w:t>
      </w:r>
      <w:r w:rsidR="0066657D">
        <w:t xml:space="preserve">ould </w:t>
      </w:r>
      <w:r w:rsidR="006A39B0">
        <w:t xml:space="preserve">also </w:t>
      </w:r>
      <w:r w:rsidR="003B3A96">
        <w:t xml:space="preserve">receive relatively greater </w:t>
      </w:r>
      <w:r w:rsidR="0066657D">
        <w:t xml:space="preserve">benefit from </w:t>
      </w:r>
      <w:r w:rsidR="006A39B0">
        <w:t xml:space="preserve">these </w:t>
      </w:r>
      <w:r w:rsidR="0066657D">
        <w:t>actions as they are more likely to be overweight or obese</w:t>
      </w:r>
      <w:r w:rsidR="0066657D" w:rsidRPr="00DB3BF5">
        <w:rPr>
          <w:rStyle w:val="FootnoteReference"/>
        </w:rPr>
        <w:footnoteReference w:id="43"/>
      </w:r>
      <w:r w:rsidR="0066657D" w:rsidRPr="006476D4">
        <w:rPr>
          <w:vertAlign w:val="superscript"/>
        </w:rPr>
        <w:t>,</w:t>
      </w:r>
      <w:r w:rsidR="0066657D" w:rsidRPr="00DB3BF5">
        <w:rPr>
          <w:rStyle w:val="FootnoteReference"/>
        </w:rPr>
        <w:footnoteReference w:id="44"/>
      </w:r>
      <w:r w:rsidR="006B2DBE">
        <w:rPr>
          <w:vertAlign w:val="superscript"/>
        </w:rPr>
        <w:t xml:space="preserve"> </w:t>
      </w:r>
      <w:r w:rsidR="009C7953">
        <w:t>and/or be affected by</w:t>
      </w:r>
      <w:r w:rsidR="006B2DBE">
        <w:t xml:space="preserve"> chronic disease</w:t>
      </w:r>
      <w:r w:rsidR="009C7953">
        <w:rPr>
          <w:rStyle w:val="FootnoteReference"/>
        </w:rPr>
        <w:footnoteReference w:id="45"/>
      </w:r>
      <w:r w:rsidR="0066657D">
        <w:t xml:space="preserve">. </w:t>
      </w:r>
    </w:p>
    <w:p w14:paraId="2EFF8023" w14:textId="2BD5C53B" w:rsidR="00603BFF" w:rsidRDefault="002A7362" w:rsidP="00F72A89">
      <w:r>
        <w:t>However</w:t>
      </w:r>
      <w:r w:rsidR="00F46710">
        <w:t xml:space="preserve">, if reformulation is not widely adopted </w:t>
      </w:r>
      <w:r w:rsidR="00635481">
        <w:t>across</w:t>
      </w:r>
      <w:r w:rsidR="00F46710">
        <w:t xml:space="preserve"> a food category, or reformulated products are more expensive, then the potential equity related benefits are diminished</w:t>
      </w:r>
      <w:r>
        <w:t>.</w:t>
      </w:r>
      <w:r w:rsidR="00F46710">
        <w:t xml:space="preserve"> </w:t>
      </w:r>
      <w:r w:rsidR="00BA301C">
        <w:t>C</w:t>
      </w:r>
      <w:r w:rsidR="00F46710">
        <w:t xml:space="preserve">onsumers would still be required to </w:t>
      </w:r>
      <w:r w:rsidR="00927687">
        <w:t xml:space="preserve">compare and interpret </w:t>
      </w:r>
      <w:r w:rsidR="00F46710">
        <w:t>label</w:t>
      </w:r>
      <w:r w:rsidR="00927687">
        <w:t>s</w:t>
      </w:r>
      <w:r w:rsidR="00F46710">
        <w:t xml:space="preserve"> to identify and sel</w:t>
      </w:r>
      <w:r w:rsidR="00635481">
        <w:t>ect a healthier option</w:t>
      </w:r>
      <w:r w:rsidR="00927687">
        <w:t xml:space="preserve"> and</w:t>
      </w:r>
      <w:r w:rsidR="006B60BB">
        <w:t xml:space="preserve"> t</w:t>
      </w:r>
      <w:r w:rsidR="001A32BF" w:rsidDel="00927687">
        <w:t xml:space="preserve">he </w:t>
      </w:r>
      <w:r w:rsidR="000001BD" w:rsidDel="00927687">
        <w:t xml:space="preserve">potential </w:t>
      </w:r>
      <w:r w:rsidR="001A32BF" w:rsidDel="00927687">
        <w:t xml:space="preserve">benefits of </w:t>
      </w:r>
      <w:r w:rsidR="001A32BF">
        <w:t xml:space="preserve">reformulation would be </w:t>
      </w:r>
      <w:r w:rsidR="001A32BF" w:rsidDel="00927687">
        <w:t xml:space="preserve">limited </w:t>
      </w:r>
      <w:r w:rsidR="001A32BF">
        <w:t>to consumers</w:t>
      </w:r>
      <w:r w:rsidR="00635481">
        <w:t xml:space="preserve"> </w:t>
      </w:r>
      <w:r w:rsidR="624F85EB">
        <w:t>wh</w:t>
      </w:r>
      <w:r w:rsidR="630C38A4">
        <w:t xml:space="preserve">o </w:t>
      </w:r>
      <w:r w:rsidR="001A32BF">
        <w:t>have</w:t>
      </w:r>
      <w:r w:rsidR="00F46710">
        <w:t xml:space="preserve"> </w:t>
      </w:r>
      <w:r w:rsidR="00927687">
        <w:t xml:space="preserve">the </w:t>
      </w:r>
      <w:r w:rsidR="00F46710">
        <w:t>resources to purchase the</w:t>
      </w:r>
      <w:r w:rsidR="00F46710" w:rsidDel="00927687">
        <w:t xml:space="preserve"> healthier option</w:t>
      </w:r>
      <w:r w:rsidR="00F46710">
        <w:t xml:space="preserve">. </w:t>
      </w:r>
    </w:p>
    <w:p w14:paraId="760CB68A" w14:textId="602535B6" w:rsidR="00603BFF" w:rsidRDefault="00603BFF" w:rsidP="00603BFF">
      <w:r>
        <w:t xml:space="preserve">The potential </w:t>
      </w:r>
      <w:r w:rsidDel="00927687">
        <w:t>e</w:t>
      </w:r>
      <w:r>
        <w:t xml:space="preserve">quity related benefits of </w:t>
      </w:r>
      <w:r w:rsidDel="00622162">
        <w:t xml:space="preserve">improving the composition of the food supply </w:t>
      </w:r>
      <w:r>
        <w:t xml:space="preserve">may also be diminished if food categories in which </w:t>
      </w:r>
      <w:r w:rsidDel="00622162">
        <w:t>compositional limits or reformulation targets</w:t>
      </w:r>
      <w:r>
        <w:t xml:space="preserve"> are implemented are not consumed widely across the population, inclu</w:t>
      </w:r>
      <w:r w:rsidR="004B0842">
        <w:t>ding amongst vulnerable groups.</w:t>
      </w:r>
    </w:p>
    <w:p w14:paraId="28ADAC20" w14:textId="5AF44958" w:rsidR="00603BFF" w:rsidRDefault="00603BFF" w:rsidP="00603BFF">
      <w:r>
        <w:t>These considerations highlight</w:t>
      </w:r>
      <w:r w:rsidR="00AE24C9">
        <w:t xml:space="preserve"> the importance of consistent and widely adopte</w:t>
      </w:r>
      <w:r w:rsidR="00635481">
        <w:t xml:space="preserve">d approaches to </w:t>
      </w:r>
      <w:r>
        <w:t xml:space="preserve">improving the composition </w:t>
      </w:r>
      <w:r w:rsidR="00635481">
        <w:t>of the food supply</w:t>
      </w:r>
      <w:r>
        <w:t xml:space="preserve">, </w:t>
      </w:r>
      <w:r w:rsidR="00436A76" w:rsidDel="00622162">
        <w:t>including</w:t>
      </w:r>
      <w:r w:rsidDel="00622162">
        <w:t xml:space="preserve"> in </w:t>
      </w:r>
      <w:r>
        <w:t>food categories consumed by vulnerable sectors of the population</w:t>
      </w:r>
      <w:r w:rsidR="00635481">
        <w:t xml:space="preserve">. </w:t>
      </w:r>
    </w:p>
    <w:p w14:paraId="46350AFD" w14:textId="3C4DC40A" w:rsidR="00857E25" w:rsidRDefault="00857E25" w:rsidP="00F72A89">
      <w:pPr>
        <w:sectPr w:rsidR="00857E25" w:rsidSect="007172CC">
          <w:pgSz w:w="11906" w:h="16838"/>
          <w:pgMar w:top="1440" w:right="1440" w:bottom="1440" w:left="1440" w:header="708" w:footer="708" w:gutter="0"/>
          <w:cols w:space="708"/>
          <w:docGrid w:linePitch="360"/>
        </w:sectPr>
      </w:pPr>
    </w:p>
    <w:p w14:paraId="169D145D" w14:textId="750F7D97" w:rsidR="003978BD" w:rsidRPr="003D3497" w:rsidRDefault="00DB29B4" w:rsidP="003978BD">
      <w:pPr>
        <w:pStyle w:val="Heading2"/>
        <w:rPr>
          <w:b/>
        </w:rPr>
      </w:pPr>
      <w:bookmarkStart w:id="45" w:name="_Toc49506062"/>
      <w:bookmarkStart w:id="46" w:name="_Toc49506910"/>
      <w:bookmarkStart w:id="47" w:name="_Toc54273223"/>
      <w:r>
        <w:rPr>
          <w:b/>
        </w:rPr>
        <w:lastRenderedPageBreak/>
        <w:t>Part 2</w:t>
      </w:r>
      <w:r w:rsidR="003D3497" w:rsidRPr="00372843">
        <w:rPr>
          <w:b/>
        </w:rPr>
        <w:t xml:space="preserve">: </w:t>
      </w:r>
      <w:r w:rsidR="003978BD" w:rsidRPr="00372843">
        <w:rPr>
          <w:b/>
        </w:rPr>
        <w:t xml:space="preserve">Current approaches for improving the </w:t>
      </w:r>
      <w:r w:rsidR="00A340E8" w:rsidRPr="00372843">
        <w:rPr>
          <w:b/>
        </w:rPr>
        <w:t>composition</w:t>
      </w:r>
      <w:r w:rsidR="003978BD" w:rsidRPr="00372843">
        <w:rPr>
          <w:b/>
        </w:rPr>
        <w:t xml:space="preserve"> of the food supply</w:t>
      </w:r>
      <w:bookmarkEnd w:id="45"/>
      <w:bookmarkEnd w:id="46"/>
      <w:bookmarkEnd w:id="47"/>
    </w:p>
    <w:p w14:paraId="123CBEF2" w14:textId="5DA6DC48" w:rsidR="00DE2B4C" w:rsidRDefault="00DE2B4C" w:rsidP="002C50DE">
      <w:r>
        <w:t>Th</w:t>
      </w:r>
      <w:r w:rsidR="00462848">
        <w:t>is</w:t>
      </w:r>
      <w:r>
        <w:t xml:space="preserve"> section discusses current approaches to improving the </w:t>
      </w:r>
      <w:r w:rsidR="00A340E8">
        <w:t>composition</w:t>
      </w:r>
      <w:r w:rsidR="60CA3D69">
        <w:t xml:space="preserve"> </w:t>
      </w:r>
      <w:r>
        <w:t xml:space="preserve">of </w:t>
      </w:r>
      <w:r w:rsidR="00AC3F1A">
        <w:t>the food supply in Australia,</w:t>
      </w:r>
      <w:r>
        <w:t xml:space="preserve"> New Zealand</w:t>
      </w:r>
      <w:r w:rsidR="00AC3F1A">
        <w:t xml:space="preserve"> and internationally</w:t>
      </w:r>
      <w:r w:rsidR="00813A32">
        <w:t xml:space="preserve"> </w:t>
      </w:r>
      <w:r w:rsidR="0B91FA65">
        <w:t xml:space="preserve">through </w:t>
      </w:r>
      <w:r w:rsidR="00813A32">
        <w:t xml:space="preserve">two approaches: mandatory </w:t>
      </w:r>
      <w:r w:rsidR="0B91FA65">
        <w:t>compositional limits</w:t>
      </w:r>
      <w:r w:rsidR="00813A32">
        <w:t>,</w:t>
      </w:r>
      <w:r w:rsidR="0B91FA65">
        <w:t xml:space="preserve"> and </w:t>
      </w:r>
      <w:r w:rsidR="27282291">
        <w:t xml:space="preserve">voluntary </w:t>
      </w:r>
      <w:r w:rsidR="0B91FA65">
        <w:t>reformulation</w:t>
      </w:r>
      <w:r w:rsidR="00670DB7">
        <w:t xml:space="preserve"> activities</w:t>
      </w:r>
      <w:r>
        <w:t xml:space="preserve">. </w:t>
      </w:r>
    </w:p>
    <w:p w14:paraId="77992BCB" w14:textId="130CF1A5" w:rsidR="002C50DE" w:rsidRPr="007345F5" w:rsidRDefault="002C50DE" w:rsidP="00381294">
      <w:pPr>
        <w:pStyle w:val="Heading3"/>
      </w:pPr>
      <w:bookmarkStart w:id="48" w:name="_Toc49506063"/>
      <w:bookmarkStart w:id="49" w:name="_Toc49506911"/>
      <w:bookmarkStart w:id="50" w:name="_Toc54273224"/>
      <w:r w:rsidRPr="007345F5">
        <w:t>Compositional limits</w:t>
      </w:r>
      <w:bookmarkEnd w:id="48"/>
      <w:bookmarkEnd w:id="49"/>
      <w:bookmarkEnd w:id="50"/>
      <w:r w:rsidRPr="007345F5">
        <w:t xml:space="preserve"> </w:t>
      </w:r>
    </w:p>
    <w:p w14:paraId="7802A5E7" w14:textId="48210F77" w:rsidR="00A340E8" w:rsidRDefault="006D42B6" w:rsidP="002C50DE">
      <w:r>
        <w:t xml:space="preserve">Compositional limits are </w:t>
      </w:r>
      <w:r w:rsidR="00A340E8">
        <w:t xml:space="preserve">mandatory </w:t>
      </w:r>
      <w:r>
        <w:t xml:space="preserve">prescribed limits on the amount of a nutrient in a particular food or beverage. </w:t>
      </w:r>
    </w:p>
    <w:p w14:paraId="60BA1776" w14:textId="2F4F6BB9" w:rsidR="00A340E8" w:rsidRDefault="00A340E8" w:rsidP="00A340E8">
      <w:r>
        <w:t>Compared to voluntary reformulation</w:t>
      </w:r>
      <w:r w:rsidR="00436A76">
        <w:t xml:space="preserve"> targets</w:t>
      </w:r>
      <w:r>
        <w:t>, a key benefit of mandatory compositional limits is they can establish a level playing field for industry (including for domestic and imported products). Not all food manufacturers participate in voluntary food reformulation activities</w:t>
      </w:r>
      <w:r w:rsidR="0017078A">
        <w:t xml:space="preserve">, and the absence of a level playing field has been identified as a barrier to voluntary </w:t>
      </w:r>
      <w:r w:rsidR="0094702A">
        <w:t>reformulation</w:t>
      </w:r>
      <w:r w:rsidR="0017078A">
        <w:rPr>
          <w:rStyle w:val="FootnoteReference"/>
        </w:rPr>
        <w:footnoteReference w:id="46"/>
      </w:r>
      <w:r w:rsidR="00913033">
        <w:t xml:space="preserve">. </w:t>
      </w:r>
      <w:r w:rsidR="00B0307B">
        <w:t>W</w:t>
      </w:r>
      <w:r w:rsidR="0017078A">
        <w:t>ith voluntary reformulation activities</w:t>
      </w:r>
      <w:r>
        <w:t xml:space="preserve"> some products on the market will </w:t>
      </w:r>
      <w:r w:rsidDel="007F5980">
        <w:t>continue to</w:t>
      </w:r>
      <w:r w:rsidR="001455B1">
        <w:t xml:space="preserve"> not meet</w:t>
      </w:r>
      <w:r w:rsidDel="007F5980">
        <w:t xml:space="preserve"> </w:t>
      </w:r>
      <w:r>
        <w:t>vo</w:t>
      </w:r>
      <w:r w:rsidR="0094702A">
        <w:t>luntary reformulation targets</w:t>
      </w:r>
      <w:r>
        <w:t xml:space="preserve">. </w:t>
      </w:r>
    </w:p>
    <w:p w14:paraId="3B11C023" w14:textId="08227106" w:rsidR="00A340E8" w:rsidRDefault="00A340E8" w:rsidP="00A340E8">
      <w:r>
        <w:t xml:space="preserve">Mandatory compositional limits can better support equity as they can ensure consistent adoption of nutrient targets and the benefits of improved food composition can be accessed by all consumers, not just those who have the skills and knowledge to read food labels and funds available to purchase healthier reformulated products. </w:t>
      </w:r>
    </w:p>
    <w:p w14:paraId="007E04B7" w14:textId="13FD692E" w:rsidR="00B0307B" w:rsidRDefault="008C74C9" w:rsidP="00A340E8">
      <w:r>
        <w:t>M</w:t>
      </w:r>
      <w:r w:rsidR="00B0307B">
        <w:t xml:space="preserve">andatory compositional limits introduce a regulatory burden on the food industry and may be a barrier to trade. </w:t>
      </w:r>
      <w:r>
        <w:t xml:space="preserve">However, the trade impacts of mandatory compositional limits are reduced if compositional limits are focussed on products which are largely produced domestically. </w:t>
      </w:r>
    </w:p>
    <w:p w14:paraId="2511FA84" w14:textId="5C45932A" w:rsidR="00A340E8" w:rsidRDefault="00A340E8" w:rsidP="00A340E8">
      <w:pPr>
        <w:pStyle w:val="Heading4"/>
      </w:pPr>
      <w:r>
        <w:t>Compositional limits in Australia and New Zealand</w:t>
      </w:r>
    </w:p>
    <w:p w14:paraId="4A320B79" w14:textId="486356ED" w:rsidR="002C50DE" w:rsidRDefault="002C50DE" w:rsidP="002C50DE">
      <w:r>
        <w:t xml:space="preserve">The </w:t>
      </w:r>
      <w:r w:rsidR="005E45FE">
        <w:t>Australia New Zealand Food Standards Code (the Code)</w:t>
      </w:r>
      <w:r>
        <w:t xml:space="preserve"> </w:t>
      </w:r>
      <w:r w:rsidR="00FA6C98">
        <w:t xml:space="preserve">currently </w:t>
      </w:r>
      <w:r>
        <w:t xml:space="preserve">includes compositional limits </w:t>
      </w:r>
      <w:r w:rsidR="00A81B0D">
        <w:t>for</w:t>
      </w:r>
      <w:r w:rsidR="001455B1">
        <w:t xml:space="preserve"> </w:t>
      </w:r>
      <w:r>
        <w:t>certain foods</w:t>
      </w:r>
      <w:r w:rsidR="3FDCAF37">
        <w:t>.</w:t>
      </w:r>
      <w:r>
        <w:t xml:space="preserve"> </w:t>
      </w:r>
      <w:proofErr w:type="gramStart"/>
      <w:r w:rsidR="3BAAB617">
        <w:t>W</w:t>
      </w:r>
      <w:r w:rsidR="006D42B6">
        <w:t>ith the exception of</w:t>
      </w:r>
      <w:proofErr w:type="gramEnd"/>
      <w:r w:rsidR="006D42B6">
        <w:t xml:space="preserve"> foods for infants, </w:t>
      </w:r>
      <w:r>
        <w:t>th</w:t>
      </w:r>
      <w:r w:rsidR="01CFCF17">
        <w:t>ese limits are</w:t>
      </w:r>
      <w:r>
        <w:t xml:space="preserve"> largely for definitional purposes rather than public health nutrition purposes. </w:t>
      </w:r>
      <w:r w:rsidR="004C030B">
        <w:t>F</w:t>
      </w:r>
      <w:r>
        <w:t>oods which do not meet the specified compositional criteria can still be sold with a different name</w:t>
      </w:r>
      <w:r w:rsidR="0081049D">
        <w:t xml:space="preserve"> or representation</w:t>
      </w:r>
      <w:r w:rsidR="00D43A05">
        <w:t xml:space="preserve"> (provided that other relevant criteria in the Code are met)</w:t>
      </w:r>
      <w:r>
        <w:t xml:space="preserve">. </w:t>
      </w:r>
    </w:p>
    <w:p w14:paraId="7CEEFD31" w14:textId="7AB4ED9F" w:rsidR="002C50DE" w:rsidRDefault="006D42B6" w:rsidP="002C50DE">
      <w:r>
        <w:t>Examples of</w:t>
      </w:r>
      <w:r w:rsidR="002C50DE">
        <w:t xml:space="preserve"> compositional limits </w:t>
      </w:r>
      <w:r>
        <w:t xml:space="preserve">in the Code </w:t>
      </w:r>
      <w:r w:rsidR="002C50DE">
        <w:t>are outlined in the table below.</w:t>
      </w:r>
    </w:p>
    <w:p w14:paraId="777431A4" w14:textId="40C975EF" w:rsidR="002C50DE" w:rsidRPr="001F67EA" w:rsidRDefault="002C50DE" w:rsidP="002C50DE">
      <w:pPr>
        <w:pStyle w:val="Caption"/>
        <w:keepNext/>
        <w:rPr>
          <w:b/>
          <w:color w:val="auto"/>
          <w:sz w:val="24"/>
          <w:szCs w:val="24"/>
        </w:rPr>
      </w:pPr>
      <w:r w:rsidRPr="001F67EA">
        <w:rPr>
          <w:b/>
          <w:color w:val="auto"/>
          <w:sz w:val="24"/>
          <w:szCs w:val="24"/>
        </w:rPr>
        <w:t xml:space="preserve">Table </w:t>
      </w:r>
      <w:r w:rsidRPr="001F67EA">
        <w:rPr>
          <w:b/>
          <w:color w:val="auto"/>
          <w:sz w:val="24"/>
          <w:szCs w:val="24"/>
        </w:rPr>
        <w:fldChar w:fldCharType="begin"/>
      </w:r>
      <w:r w:rsidRPr="001F67EA">
        <w:rPr>
          <w:b/>
          <w:color w:val="auto"/>
          <w:sz w:val="24"/>
          <w:szCs w:val="24"/>
        </w:rPr>
        <w:instrText xml:space="preserve"> SEQ Table \* ARABIC </w:instrText>
      </w:r>
      <w:r w:rsidRPr="001F67EA">
        <w:rPr>
          <w:b/>
          <w:color w:val="auto"/>
          <w:sz w:val="24"/>
          <w:szCs w:val="24"/>
        </w:rPr>
        <w:fldChar w:fldCharType="separate"/>
      </w:r>
      <w:r w:rsidR="005803F7">
        <w:rPr>
          <w:b/>
          <w:noProof/>
          <w:color w:val="auto"/>
          <w:sz w:val="24"/>
          <w:szCs w:val="24"/>
        </w:rPr>
        <w:t>1</w:t>
      </w:r>
      <w:r w:rsidRPr="001F67EA">
        <w:rPr>
          <w:b/>
          <w:color w:val="auto"/>
          <w:sz w:val="24"/>
          <w:szCs w:val="24"/>
        </w:rPr>
        <w:fldChar w:fldCharType="end"/>
      </w:r>
      <w:r w:rsidRPr="001F67EA">
        <w:rPr>
          <w:b/>
          <w:color w:val="auto"/>
          <w:sz w:val="24"/>
          <w:szCs w:val="24"/>
        </w:rPr>
        <w:t>: Examples of compositional limits in the Code</w:t>
      </w:r>
    </w:p>
    <w:tbl>
      <w:tblPr>
        <w:tblStyle w:val="TableGrid"/>
        <w:tblW w:w="0" w:type="auto"/>
        <w:tblLook w:val="04A0" w:firstRow="1" w:lastRow="0" w:firstColumn="1" w:lastColumn="0" w:noHBand="0" w:noVBand="1"/>
        <w:tblCaption w:val="Table 1: Examples of compositional limits in the Code"/>
        <w:tblDescription w:val="Table with two columns. Column 1: Lists different examples of foods that have a compositional limit in the code.  Column 2: Provide details on the compositional limit in the Code. "/>
      </w:tblPr>
      <w:tblGrid>
        <w:gridCol w:w="1555"/>
        <w:gridCol w:w="7461"/>
      </w:tblGrid>
      <w:tr w:rsidR="002C50DE" w14:paraId="5681C2B4" w14:textId="77777777" w:rsidTr="008C1500">
        <w:trPr>
          <w:tblHeader/>
        </w:trPr>
        <w:tc>
          <w:tcPr>
            <w:tcW w:w="1555" w:type="dxa"/>
          </w:tcPr>
          <w:p w14:paraId="3FA14FB2" w14:textId="77777777" w:rsidR="002C50DE" w:rsidRPr="00BF10A8" w:rsidRDefault="002C50DE" w:rsidP="008B284F">
            <w:pPr>
              <w:rPr>
                <w:b/>
              </w:rPr>
            </w:pPr>
            <w:r w:rsidRPr="00BF10A8">
              <w:rPr>
                <w:b/>
              </w:rPr>
              <w:t>Food</w:t>
            </w:r>
          </w:p>
        </w:tc>
        <w:tc>
          <w:tcPr>
            <w:tcW w:w="7461" w:type="dxa"/>
          </w:tcPr>
          <w:p w14:paraId="2A7B47E4" w14:textId="77777777" w:rsidR="002C50DE" w:rsidRPr="00BF10A8" w:rsidRDefault="002C50DE" w:rsidP="008B284F">
            <w:pPr>
              <w:rPr>
                <w:b/>
              </w:rPr>
            </w:pPr>
            <w:r>
              <w:rPr>
                <w:b/>
              </w:rPr>
              <w:t>Compositional c</w:t>
            </w:r>
            <w:r w:rsidRPr="00BF10A8">
              <w:rPr>
                <w:b/>
              </w:rPr>
              <w:t>riteria</w:t>
            </w:r>
          </w:p>
        </w:tc>
      </w:tr>
      <w:tr w:rsidR="002C50DE" w14:paraId="6452AEDC" w14:textId="77777777" w:rsidTr="19C8347C">
        <w:tc>
          <w:tcPr>
            <w:tcW w:w="1555" w:type="dxa"/>
          </w:tcPr>
          <w:p w14:paraId="4B175B2A" w14:textId="77777777" w:rsidR="002C50DE" w:rsidRDefault="002C50DE" w:rsidP="008B284F">
            <w:r>
              <w:t>Ice-cream</w:t>
            </w:r>
          </w:p>
        </w:tc>
        <w:tc>
          <w:tcPr>
            <w:tcW w:w="7461" w:type="dxa"/>
          </w:tcPr>
          <w:p w14:paraId="5A114A0D" w14:textId="64A478A4" w:rsidR="002C50DE" w:rsidRDefault="002C50DE" w:rsidP="008B284F">
            <w:r>
              <w:t>Must contain no less than 10</w:t>
            </w:r>
            <w:r w:rsidR="00964875">
              <w:t xml:space="preserve"> </w:t>
            </w:r>
            <w:r>
              <w:t>g/kg of milk fat and 168 g/L food solids</w:t>
            </w:r>
          </w:p>
        </w:tc>
      </w:tr>
      <w:tr w:rsidR="002C50DE" w14:paraId="120C653A" w14:textId="77777777" w:rsidTr="19C8347C">
        <w:tc>
          <w:tcPr>
            <w:tcW w:w="1555" w:type="dxa"/>
          </w:tcPr>
          <w:p w14:paraId="530B1B77" w14:textId="77777777" w:rsidR="002C50DE" w:rsidRDefault="002C50DE" w:rsidP="008B284F">
            <w:r>
              <w:t>Cream</w:t>
            </w:r>
          </w:p>
        </w:tc>
        <w:tc>
          <w:tcPr>
            <w:tcW w:w="7461" w:type="dxa"/>
          </w:tcPr>
          <w:p w14:paraId="6C29937F" w14:textId="3ACFE122" w:rsidR="002C50DE" w:rsidRDefault="002C50DE" w:rsidP="008B284F">
            <w:r>
              <w:t xml:space="preserve">Must </w:t>
            </w:r>
            <w:r w:rsidRPr="00D06476">
              <w:t>contain no less than 350 g/kg of milk</w:t>
            </w:r>
            <w:r w:rsidR="00717CB4">
              <w:t xml:space="preserve"> </w:t>
            </w:r>
            <w:r w:rsidRPr="00D06476">
              <w:t>fat.</w:t>
            </w:r>
          </w:p>
        </w:tc>
      </w:tr>
      <w:tr w:rsidR="002C50DE" w14:paraId="02DE14EE" w14:textId="77777777" w:rsidTr="19C8347C">
        <w:tc>
          <w:tcPr>
            <w:tcW w:w="1555" w:type="dxa"/>
          </w:tcPr>
          <w:p w14:paraId="00941FBE" w14:textId="77777777" w:rsidR="002C50DE" w:rsidRDefault="002C50DE" w:rsidP="008B284F">
            <w:r>
              <w:t>Sausage</w:t>
            </w:r>
          </w:p>
        </w:tc>
        <w:tc>
          <w:tcPr>
            <w:tcW w:w="7461" w:type="dxa"/>
          </w:tcPr>
          <w:p w14:paraId="4D925BF1" w14:textId="77777777" w:rsidR="002C50DE" w:rsidRDefault="002C50DE" w:rsidP="008B284F">
            <w:r>
              <w:t>Must contain no less than 500 g/kg of fat free meat flesh; and have a proportion of fat that is no more than 500 g/kg of the fat free meat flesh content.</w:t>
            </w:r>
          </w:p>
        </w:tc>
      </w:tr>
      <w:tr w:rsidR="002C50DE" w14:paraId="35D7A32A" w14:textId="77777777" w:rsidTr="19C8347C">
        <w:tc>
          <w:tcPr>
            <w:tcW w:w="1555" w:type="dxa"/>
          </w:tcPr>
          <w:p w14:paraId="1CD5AE61" w14:textId="77777777" w:rsidR="002C50DE" w:rsidRDefault="002C50DE" w:rsidP="008B284F">
            <w:r>
              <w:lastRenderedPageBreak/>
              <w:t>Formulated caffeinated beverage</w:t>
            </w:r>
          </w:p>
        </w:tc>
        <w:tc>
          <w:tcPr>
            <w:tcW w:w="7461" w:type="dxa"/>
          </w:tcPr>
          <w:p w14:paraId="4C8F7065" w14:textId="77777777" w:rsidR="002C50DE" w:rsidRDefault="002C50DE" w:rsidP="008B284F">
            <w:r w:rsidRPr="00A35383">
              <w:t>Must contain no less than 145 mg/L and no more than 320 mg/L of caffeine in total, from any source; and</w:t>
            </w:r>
            <w:r>
              <w:t xml:space="preserve"> </w:t>
            </w:r>
            <w:r w:rsidRPr="00A35383">
              <w:t>may contain a listed substance.</w:t>
            </w:r>
          </w:p>
        </w:tc>
      </w:tr>
      <w:tr w:rsidR="002C50DE" w14:paraId="5A02B0E9" w14:textId="77777777" w:rsidTr="19C8347C">
        <w:tc>
          <w:tcPr>
            <w:tcW w:w="1555" w:type="dxa"/>
          </w:tcPr>
          <w:p w14:paraId="2C9B5F3F" w14:textId="77777777" w:rsidR="002C50DE" w:rsidRDefault="002C50DE" w:rsidP="008B284F">
            <w:r>
              <w:t>Honey</w:t>
            </w:r>
          </w:p>
        </w:tc>
        <w:tc>
          <w:tcPr>
            <w:tcW w:w="7461" w:type="dxa"/>
          </w:tcPr>
          <w:p w14:paraId="5FA1B752" w14:textId="77777777" w:rsidR="002C50DE" w:rsidRDefault="002C50DE" w:rsidP="008B284F">
            <w:r>
              <w:t>Must contain no less than 60% reducing sugars and no more than 21% moisture.</w:t>
            </w:r>
          </w:p>
        </w:tc>
      </w:tr>
      <w:tr w:rsidR="004C030B" w14:paraId="13978E39" w14:textId="77777777" w:rsidTr="19C8347C">
        <w:tc>
          <w:tcPr>
            <w:tcW w:w="1555" w:type="dxa"/>
          </w:tcPr>
          <w:p w14:paraId="3449B89B" w14:textId="77777777" w:rsidR="004C030B" w:rsidRDefault="004C030B" w:rsidP="008B284F">
            <w:r>
              <w:t>Foods for infants</w:t>
            </w:r>
          </w:p>
        </w:tc>
        <w:tc>
          <w:tcPr>
            <w:tcW w:w="7461" w:type="dxa"/>
          </w:tcPr>
          <w:p w14:paraId="0B3BE39C" w14:textId="742E9887" w:rsidR="004C030B" w:rsidRDefault="004C030B" w:rsidP="004C030B">
            <w:r>
              <w:t>Standard 2.9.2-3 includes compositional requirements for sodium for various foods such as rusks (no more than 350 mg/100g), biscuits (no more than 300mg/100g)</w:t>
            </w:r>
            <w:r w:rsidR="2AA44E11">
              <w:t>,</w:t>
            </w:r>
            <w:r>
              <w:t xml:space="preserve"> and other cereal-based foods (</w:t>
            </w:r>
            <w:r w:rsidR="0081049D">
              <w:t xml:space="preserve">no more than </w:t>
            </w:r>
            <w:r>
              <w:t xml:space="preserve">100mg/100g). This standard also includes compositional limits for iron content of cereal-based foods and a limit on sugars content for certain beverages. </w:t>
            </w:r>
          </w:p>
        </w:tc>
      </w:tr>
    </w:tbl>
    <w:p w14:paraId="3837DD2D" w14:textId="53042A10" w:rsidR="007345F5" w:rsidRDefault="007345F5" w:rsidP="002C50DE">
      <w:pPr>
        <w:rPr>
          <w:b/>
        </w:rPr>
      </w:pPr>
    </w:p>
    <w:p w14:paraId="5EBCB50A" w14:textId="7632A2DB" w:rsidR="00AC3F1A" w:rsidRDefault="00AC3F1A" w:rsidP="00AC3F1A">
      <w:pPr>
        <w:pStyle w:val="Heading4"/>
      </w:pPr>
      <w:r>
        <w:t>Compositional limits internationally</w:t>
      </w:r>
    </w:p>
    <w:p w14:paraId="087A2903" w14:textId="7C8CB914" w:rsidR="00AC3F1A" w:rsidRPr="0028326D" w:rsidRDefault="00AC3F1A" w:rsidP="00AC3F1A">
      <w:r>
        <w:t>Internationally, mandatory compositional limits have been applied predominantly in relation to trans fats and</w:t>
      </w:r>
      <w:r w:rsidRPr="00AC3954">
        <w:t xml:space="preserve"> </w:t>
      </w:r>
      <w:r>
        <w:t xml:space="preserve">salt. </w:t>
      </w:r>
      <w:r w:rsidR="005D0C6E">
        <w:t xml:space="preserve">Details on these compositional limits are provided at </w:t>
      </w:r>
      <w:r w:rsidR="00C06A59">
        <w:rPr>
          <w:u w:val="single"/>
        </w:rPr>
        <w:t>Appendix 1</w:t>
      </w:r>
      <w:r w:rsidR="005D0C6E">
        <w:t xml:space="preserve"> and a </w:t>
      </w:r>
      <w:r w:rsidR="005D0C6E" w:rsidRPr="0028326D">
        <w:t>summary is provided below.</w:t>
      </w:r>
    </w:p>
    <w:p w14:paraId="47223B88" w14:textId="344787DC" w:rsidR="002774F4" w:rsidRDefault="002774F4" w:rsidP="002774F4">
      <w:r w:rsidRPr="0028326D">
        <w:t xml:space="preserve">This is an evolving area. While foods for infants is outside the scope of this paper, there is work to consider compositional limits for infant foods internationally. For </w:t>
      </w:r>
      <w:proofErr w:type="gramStart"/>
      <w:r w:rsidRPr="0028326D">
        <w:t>example</w:t>
      </w:r>
      <w:proofErr w:type="gramEnd"/>
      <w:r w:rsidRPr="0028326D">
        <w:t xml:space="preserve"> the WHO Regional Office for Europe released a discussion paper in 2019 outlining the first steps in developing a nutrient profile model to drive changes to product composition and labelling in commercially available complementary foods for infants and young children. This included recommendations for compositional limits for ingredients including sugars, salt and industrially produced trans fatty acids as well as for broader labelling</w:t>
      </w:r>
      <w:r w:rsidRPr="0028326D">
        <w:rPr>
          <w:rStyle w:val="FootnoteReference"/>
        </w:rPr>
        <w:footnoteReference w:id="47"/>
      </w:r>
      <w:r w:rsidRPr="0028326D">
        <w:t>.</w:t>
      </w:r>
    </w:p>
    <w:p w14:paraId="5A79587E" w14:textId="2207DF32" w:rsidR="00D67A34" w:rsidRDefault="00D67A34" w:rsidP="00D67A34">
      <w:pPr>
        <w:pStyle w:val="Heading5"/>
        <w:rPr>
          <w:rStyle w:val="Heading6Char"/>
        </w:rPr>
      </w:pPr>
      <w:r>
        <w:rPr>
          <w:rStyle w:val="Heading6Char"/>
        </w:rPr>
        <w:t>Saturated fats</w:t>
      </w:r>
    </w:p>
    <w:p w14:paraId="7C44C1B2" w14:textId="77777777" w:rsidR="00D67A34" w:rsidRPr="00527871" w:rsidRDefault="00D67A34" w:rsidP="00D67A34">
      <w:r>
        <w:t xml:space="preserve">Mandatory compositional limits for saturated fats have not been identified. </w:t>
      </w:r>
    </w:p>
    <w:p w14:paraId="30CC825F" w14:textId="21CC5EE1" w:rsidR="00667BEB" w:rsidRDefault="00667BEB" w:rsidP="00667BEB">
      <w:pPr>
        <w:pStyle w:val="Heading5"/>
        <w:rPr>
          <w:rStyle w:val="Heading6Char"/>
        </w:rPr>
      </w:pPr>
      <w:r>
        <w:rPr>
          <w:rStyle w:val="Heading6Char"/>
        </w:rPr>
        <w:t>Trans fats</w:t>
      </w:r>
    </w:p>
    <w:p w14:paraId="66EC3AE4" w14:textId="3E81D891" w:rsidR="00062227" w:rsidRDefault="00067F3A" w:rsidP="00AC3F1A">
      <w:r>
        <w:t xml:space="preserve">The </w:t>
      </w:r>
      <w:r w:rsidR="00FC26E0">
        <w:t>WHO</w:t>
      </w:r>
      <w:r>
        <w:t xml:space="preserve"> reports that 58 countries have introduced laws to eliminate </w:t>
      </w:r>
      <w:proofErr w:type="spellStart"/>
      <w:r>
        <w:t>trans fat</w:t>
      </w:r>
      <w:proofErr w:type="spellEnd"/>
      <w:r>
        <w:t xml:space="preserve"> from the food supply</w:t>
      </w:r>
      <w:r w:rsidR="00FC26E0">
        <w:t>. As a result of these measures, 3.2 billion people globally are protected from the harmful effects of trans fats</w:t>
      </w:r>
      <w:r w:rsidR="00FC26E0">
        <w:rPr>
          <w:rStyle w:val="FootnoteReference"/>
        </w:rPr>
        <w:footnoteReference w:id="48"/>
      </w:r>
      <w:r w:rsidR="00FC26E0">
        <w:t>. Details on the</w:t>
      </w:r>
      <w:r>
        <w:t xml:space="preserve"> policies for around half of these countries are provided at </w:t>
      </w:r>
      <w:r w:rsidRPr="00FC26E0">
        <w:rPr>
          <w:u w:val="single"/>
        </w:rPr>
        <w:t>Appen</w:t>
      </w:r>
      <w:r w:rsidR="00FC26E0" w:rsidRPr="00FC26E0">
        <w:rPr>
          <w:u w:val="single"/>
        </w:rPr>
        <w:t>dix </w:t>
      </w:r>
      <w:r w:rsidRPr="00FC26E0">
        <w:rPr>
          <w:u w:val="single"/>
        </w:rPr>
        <w:t>1</w:t>
      </w:r>
      <w:r>
        <w:t>. Depending on the approach taken, c</w:t>
      </w:r>
      <w:r w:rsidR="00AC3F1A">
        <w:t xml:space="preserve">ompositional limits or bans for </w:t>
      </w:r>
      <w:r w:rsidR="00AC3F1A">
        <w:lastRenderedPageBreak/>
        <w:t xml:space="preserve">trans fats </w:t>
      </w:r>
      <w:r>
        <w:t>apply</w:t>
      </w:r>
      <w:r w:rsidR="00AC3F1A">
        <w:t xml:space="preserve"> to oils and fats, </w:t>
      </w:r>
      <w:proofErr w:type="gramStart"/>
      <w:r w:rsidR="00D43A05">
        <w:t xml:space="preserve">and </w:t>
      </w:r>
      <w:r w:rsidR="00AC3F1A">
        <w:t>also</w:t>
      </w:r>
      <w:proofErr w:type="gramEnd"/>
      <w:r w:rsidR="00AC3F1A">
        <w:t xml:space="preserve"> products containing oils and fats</w:t>
      </w:r>
      <w:r w:rsidR="00AC3F1A">
        <w:rPr>
          <w:rStyle w:val="FootnoteReference"/>
        </w:rPr>
        <w:footnoteReference w:id="49"/>
      </w:r>
      <w:r w:rsidR="00AC3F1A">
        <w:t>. Elimination of trans fats in the food supply is one of the ‘best buys’ for preventi</w:t>
      </w:r>
      <w:r w:rsidR="00F126D7">
        <w:t>on of non-communicable diseases</w:t>
      </w:r>
      <w:r w:rsidR="00AC3F1A">
        <w:t xml:space="preserve"> recommended by the WHO</w:t>
      </w:r>
      <w:r w:rsidR="00AC3F1A">
        <w:rPr>
          <w:rStyle w:val="FootnoteReference"/>
        </w:rPr>
        <w:footnoteReference w:id="50"/>
      </w:r>
      <w:r w:rsidR="00AC3F1A">
        <w:t xml:space="preserve">. </w:t>
      </w:r>
      <w:r w:rsidR="00E724FE">
        <w:t>The WHO</w:t>
      </w:r>
      <w:r w:rsidR="00A447A1">
        <w:t xml:space="preserve"> has established the ‘REPLACE’ program to support member states to eliminate </w:t>
      </w:r>
      <w:proofErr w:type="gramStart"/>
      <w:r w:rsidR="00A447A1">
        <w:t>industrially-produced</w:t>
      </w:r>
      <w:proofErr w:type="gramEnd"/>
      <w:r w:rsidR="00A447A1">
        <w:t xml:space="preserve"> trans fats from the global food supply by 2023</w:t>
      </w:r>
      <w:r w:rsidR="002A6F34">
        <w:rPr>
          <w:rStyle w:val="FootnoteReference"/>
        </w:rPr>
        <w:footnoteReference w:id="51"/>
      </w:r>
      <w:r w:rsidR="00A447A1">
        <w:t xml:space="preserve">. The program provides technical information and resources to facilitate implementation of this work. The ‘REPLACE’ program also monitors and reports country’s efforts in eliminating industrially produced trans fats. </w:t>
      </w:r>
    </w:p>
    <w:p w14:paraId="51840C8A" w14:textId="456E7EB4" w:rsidR="00AC3F1A" w:rsidRDefault="00AC3F1A" w:rsidP="00AC3F1A">
      <w:r w:rsidRPr="00FE62BC">
        <w:t>Evaluations</w:t>
      </w:r>
      <w:r>
        <w:t xml:space="preserve"> of </w:t>
      </w:r>
      <w:r w:rsidRPr="00FE62BC">
        <w:t xml:space="preserve">work in Denmark to ban the sale of products containing trans-fats report that trans-fat were reduced to non-significant levels </w:t>
      </w:r>
      <w:r>
        <w:t>in the food supply and</w:t>
      </w:r>
      <w:r w:rsidRPr="00FE62BC">
        <w:t xml:space="preserve"> contributed to decrease</w:t>
      </w:r>
      <w:r w:rsidR="00E639B7">
        <w:t>d</w:t>
      </w:r>
      <w:r w:rsidRPr="00FE62BC">
        <w:t xml:space="preserve"> cardiovascular mortality rates</w:t>
      </w:r>
      <w:r w:rsidRPr="00FE62BC">
        <w:rPr>
          <w:rStyle w:val="FootnoteReference"/>
        </w:rPr>
        <w:footnoteReference w:id="52"/>
      </w:r>
      <w:r w:rsidRPr="00B741BA">
        <w:rPr>
          <w:vertAlign w:val="superscript"/>
        </w:rPr>
        <w:t>,</w:t>
      </w:r>
      <w:r>
        <w:rPr>
          <w:rStyle w:val="FootnoteReference"/>
        </w:rPr>
        <w:footnoteReference w:id="53"/>
      </w:r>
      <w:r>
        <w:rPr>
          <w:vertAlign w:val="superscript"/>
        </w:rPr>
        <w:t>,</w:t>
      </w:r>
      <w:r>
        <w:rPr>
          <w:rStyle w:val="FootnoteReference"/>
        </w:rPr>
        <w:footnoteReference w:id="54"/>
      </w:r>
      <w:r w:rsidRPr="00FE62BC">
        <w:t>.</w:t>
      </w:r>
      <w:r>
        <w:t xml:space="preserve"> Similar estimates have been reported for New York State where restrictions on use of ingredients containing trans fats in fast-food outlets were associated with a 4.5% reduction in cardiovascular </w:t>
      </w:r>
      <w:r w:rsidRPr="00DE302B">
        <w:t xml:space="preserve">disease </w:t>
      </w:r>
      <w:r w:rsidR="00A26BB3" w:rsidRPr="00DE302B">
        <w:t>mortality</w:t>
      </w:r>
      <w:r w:rsidR="00DE302B" w:rsidRPr="00DE302B">
        <w:t xml:space="preserve"> </w:t>
      </w:r>
      <w:r w:rsidR="00DE302B" w:rsidRPr="00DE302B">
        <w:rPr>
          <w:rFonts w:ascii="NexusSans" w:hAnsi="NexusSans" w:cs="Arial"/>
          <w:lang w:val="en"/>
        </w:rPr>
        <w:t xml:space="preserve">or </w:t>
      </w:r>
      <w:r w:rsidR="005D7C6B">
        <w:rPr>
          <w:rFonts w:ascii="NexusSans" w:hAnsi="NexusSans" w:cs="Arial"/>
          <w:lang w:val="en"/>
        </w:rPr>
        <w:t>thirteen</w:t>
      </w:r>
      <w:r w:rsidR="005D7C6B" w:rsidRPr="00DE302B">
        <w:rPr>
          <w:rFonts w:ascii="NexusSans" w:hAnsi="NexusSans" w:cs="Arial"/>
          <w:lang w:val="en"/>
        </w:rPr>
        <w:t xml:space="preserve"> </w:t>
      </w:r>
      <w:r w:rsidR="00DE302B" w:rsidRPr="00DE302B">
        <w:rPr>
          <w:rFonts w:ascii="NexusSans" w:hAnsi="NexusSans" w:cs="Arial"/>
          <w:lang w:val="en"/>
        </w:rPr>
        <w:t xml:space="preserve">fewer </w:t>
      </w:r>
      <w:r w:rsidR="00DE302B">
        <w:rPr>
          <w:rFonts w:ascii="NexusSans" w:hAnsi="NexusSans" w:cs="Arial"/>
          <w:lang w:val="en"/>
        </w:rPr>
        <w:t>cardiovascular disease</w:t>
      </w:r>
      <w:r w:rsidR="00DE302B" w:rsidRPr="00DE302B">
        <w:rPr>
          <w:rFonts w:ascii="NexusSans" w:hAnsi="NexusSans" w:cs="Arial"/>
          <w:lang w:val="en"/>
        </w:rPr>
        <w:t xml:space="preserve"> deaths per 100,000 persons per year</w:t>
      </w:r>
      <w:r w:rsidRPr="00DE302B">
        <w:rPr>
          <w:rStyle w:val="FootnoteReference"/>
        </w:rPr>
        <w:footnoteReference w:id="55"/>
      </w:r>
      <w:r w:rsidRPr="00DE302B">
        <w:t xml:space="preserve">. </w:t>
      </w:r>
    </w:p>
    <w:p w14:paraId="068EE29A" w14:textId="16159EEA" w:rsidR="00F90B5B" w:rsidRDefault="00436A76" w:rsidP="00F90B5B">
      <w:pPr>
        <w:pStyle w:val="Heading5"/>
      </w:pPr>
      <w:r>
        <w:rPr>
          <w:rStyle w:val="Heading6Char"/>
        </w:rPr>
        <w:t>Sodium/</w:t>
      </w:r>
      <w:r w:rsidR="00F90B5B">
        <w:rPr>
          <w:rStyle w:val="Heading6Char"/>
        </w:rPr>
        <w:t>Salt</w:t>
      </w:r>
    </w:p>
    <w:p w14:paraId="76D69CD6" w14:textId="2DFEE35B" w:rsidR="00436A76" w:rsidRDefault="0071551E" w:rsidP="00585C4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585C4D">
        <w:rPr>
          <w:u w:val="single"/>
        </w:rPr>
        <w:t>A note on terminology:</w:t>
      </w:r>
      <w:r w:rsidR="00436A76">
        <w:t xml:space="preserve"> this report uses the terms ‘salt’ and ‘sodium’. The term ‘salt</w:t>
      </w:r>
      <w:r w:rsidR="002D6762">
        <w:t>’</w:t>
      </w:r>
      <w:r w:rsidR="00436A76">
        <w:t xml:space="preserve"> refers to sodium chloride, whereas ‘sodium’ refers to sodium specifically. </w:t>
      </w:r>
    </w:p>
    <w:p w14:paraId="62FE5EA0" w14:textId="410DEB96" w:rsidR="00436A76" w:rsidRDefault="00436A76" w:rsidP="00585C4D">
      <w:pPr>
        <w:pBdr>
          <w:top w:val="single" w:sz="4" w:space="1" w:color="auto"/>
          <w:left w:val="single" w:sz="4" w:space="4" w:color="auto"/>
          <w:bottom w:val="single" w:sz="4" w:space="1" w:color="auto"/>
          <w:right w:val="single" w:sz="4" w:space="4" w:color="auto"/>
        </w:pBdr>
        <w:shd w:val="clear" w:color="auto" w:fill="D9D9D9" w:themeFill="background1" w:themeFillShade="D9"/>
      </w:pPr>
      <w:r>
        <w:t>In this report, the term ‘salt’ is used when compositional limits or reformulation targets specifically focus on ‘salt’</w:t>
      </w:r>
      <w:r w:rsidR="002D6762">
        <w:t>,</w:t>
      </w:r>
      <w:r>
        <w:t xml:space="preserve"> otherwise the term ‘sodium’ is used. </w:t>
      </w:r>
    </w:p>
    <w:p w14:paraId="13E04131" w14:textId="2001C0DF" w:rsidR="00BF15A5" w:rsidRDefault="00AC3F1A" w:rsidP="00AC3F1A">
      <w:r>
        <w:t xml:space="preserve">Mandatory compositional limits for salt/sodium have been identified for </w:t>
      </w:r>
      <w:r w:rsidR="005D7C6B">
        <w:t xml:space="preserve">ten </w:t>
      </w:r>
      <w:r>
        <w:t xml:space="preserve">countries, mostly targeted at breads. </w:t>
      </w:r>
      <w:r w:rsidR="00BF15A5">
        <w:t xml:space="preserve">Breads are a major </w:t>
      </w:r>
      <w:r w:rsidR="00FC7ED5">
        <w:t>source</w:t>
      </w:r>
      <w:r w:rsidR="0082637E">
        <w:t xml:space="preserve"> of sodium in the diet</w:t>
      </w:r>
      <w:r w:rsidR="0082637E">
        <w:rPr>
          <w:rStyle w:val="FootnoteReference"/>
        </w:rPr>
        <w:footnoteReference w:id="56"/>
      </w:r>
      <w:r w:rsidR="00BF15A5">
        <w:t xml:space="preserve">. </w:t>
      </w:r>
    </w:p>
    <w:p w14:paraId="412C5946" w14:textId="7CC1CD1F" w:rsidR="003D3497" w:rsidRDefault="00AC3F1A" w:rsidP="00AC3F1A">
      <w:r>
        <w:lastRenderedPageBreak/>
        <w:t>Evaluations of these limits tend to focus on industry compliance</w:t>
      </w:r>
      <w:r>
        <w:rPr>
          <w:rStyle w:val="FootnoteReference"/>
        </w:rPr>
        <w:footnoteReference w:id="57"/>
      </w:r>
      <w:r w:rsidR="00E04017" w:rsidRPr="00E04017">
        <w:rPr>
          <w:vertAlign w:val="superscript"/>
        </w:rPr>
        <w:t>,</w:t>
      </w:r>
      <w:r>
        <w:rPr>
          <w:rStyle w:val="FootnoteReference"/>
        </w:rPr>
        <w:footnoteReference w:id="58"/>
      </w:r>
      <w:r>
        <w:t xml:space="preserve">, rather than public health impacts. However, modelling studies suggest mandatory compositional limits for </w:t>
      </w:r>
      <w:r w:rsidR="002D6762">
        <w:t>salt</w:t>
      </w:r>
      <w:r>
        <w:t xml:space="preserve"> may reduce cardiovascular mortality and be more effective than health promotion messages, front-of-pack labelling </w:t>
      </w:r>
      <w:r w:rsidRPr="00436A76">
        <w:t>or voluntary reformulation</w:t>
      </w:r>
      <w:r w:rsidRPr="00436A76">
        <w:rPr>
          <w:rStyle w:val="FootnoteReference"/>
        </w:rPr>
        <w:footnoteReference w:id="59"/>
      </w:r>
      <w:r w:rsidRPr="00436A76">
        <w:t>.</w:t>
      </w:r>
      <w:r w:rsidR="00436A76">
        <w:t xml:space="preserve"> </w:t>
      </w:r>
    </w:p>
    <w:p w14:paraId="2C544EB8" w14:textId="05475C9E" w:rsidR="00F90B5B" w:rsidRDefault="00F90B5B" w:rsidP="00D024BF">
      <w:pPr>
        <w:keepNext/>
        <w:keepLines/>
        <w:spacing w:before="40" w:after="0"/>
        <w:rPr>
          <w:rStyle w:val="Heading6Char"/>
        </w:rPr>
      </w:pPr>
      <w:r>
        <w:rPr>
          <w:rStyle w:val="Heading6Char"/>
        </w:rPr>
        <w:t>Sugar</w:t>
      </w:r>
      <w:r w:rsidR="002D6762">
        <w:rPr>
          <w:rStyle w:val="Heading6Char"/>
        </w:rPr>
        <w:t>s</w:t>
      </w:r>
    </w:p>
    <w:p w14:paraId="62CE0F4C" w14:textId="476D01F6" w:rsidR="00AC3F1A" w:rsidRDefault="00AC3F1A" w:rsidP="00D024BF">
      <w:pPr>
        <w:keepNext/>
        <w:keepLines/>
      </w:pPr>
      <w:r>
        <w:t xml:space="preserve">Compositional limits for </w:t>
      </w:r>
      <w:r w:rsidR="002D6762">
        <w:t xml:space="preserve">a food’s </w:t>
      </w:r>
      <w:r>
        <w:t>sugar content have not been identified, however</w:t>
      </w:r>
      <w:r w:rsidR="0093047E">
        <w:t>,</w:t>
      </w:r>
      <w:r>
        <w:t xml:space="preserve"> Saudi Arabia </w:t>
      </w:r>
      <w:r w:rsidR="00F90B5B">
        <w:t xml:space="preserve">recently </w:t>
      </w:r>
      <w:r>
        <w:t xml:space="preserve">proposed to introduce limits on added sugars in soft drinks and foods for special dietary uses. </w:t>
      </w:r>
      <w:r w:rsidR="0093047E">
        <w:t>This</w:t>
      </w:r>
      <w:r>
        <w:t xml:space="preserve"> proposal was considered by the World Trade Organization (WTO) Committee on Technical Barriers to Trade</w:t>
      </w:r>
      <w:r w:rsidR="009276F4">
        <w:t xml:space="preserve"> </w:t>
      </w:r>
      <w:r w:rsidRPr="57A61FFE">
        <w:rPr>
          <w:rStyle w:val="FootnoteReference"/>
          <w:vertAlign w:val="baseline"/>
        </w:rPr>
        <w:t xml:space="preserve">and, after </w:t>
      </w:r>
      <w:r w:rsidR="00FC40F8">
        <w:t xml:space="preserve">regarding </w:t>
      </w:r>
      <w:r w:rsidRPr="57A61FFE">
        <w:rPr>
          <w:rStyle w:val="FootnoteReference"/>
          <w:vertAlign w:val="baseline"/>
        </w:rPr>
        <w:t>comments from WTO members, was subseq</w:t>
      </w:r>
      <w:r w:rsidR="009276F4">
        <w:rPr>
          <w:rStyle w:val="FootnoteReference"/>
          <w:vertAlign w:val="baseline"/>
        </w:rPr>
        <w:t>uently withdrawn by Saudi Arabia</w:t>
      </w:r>
      <w:r w:rsidR="009276F4">
        <w:rPr>
          <w:rStyle w:val="FootnoteReference"/>
        </w:rPr>
        <w:footnoteReference w:id="60"/>
      </w:r>
      <w:r w:rsidR="004B0842">
        <w:rPr>
          <w:rStyle w:val="FootnoteReference"/>
          <w:vertAlign w:val="baseline"/>
        </w:rPr>
        <w:t>.</w:t>
      </w:r>
    </w:p>
    <w:p w14:paraId="13F57EC4" w14:textId="4178F660" w:rsidR="00F90B5B" w:rsidRDefault="00F90B5B" w:rsidP="00F90B5B">
      <w:pPr>
        <w:pStyle w:val="Heading6"/>
      </w:pPr>
      <w:r>
        <w:t>Positive nutrients</w:t>
      </w:r>
    </w:p>
    <w:p w14:paraId="162DD012" w14:textId="1B85C9D6" w:rsidR="00AC3F1A" w:rsidRDefault="00AC3F1A" w:rsidP="00AC3F1A">
      <w:r>
        <w:t xml:space="preserve">Compositional limits </w:t>
      </w:r>
      <w:r w:rsidR="00436A76">
        <w:t>for</w:t>
      </w:r>
      <w:r>
        <w:t xml:space="preserve"> positive nutrients </w:t>
      </w:r>
      <w:r w:rsidR="006878E9">
        <w:t>(such as fibre, wholegrains, fruit and vegetables)</w:t>
      </w:r>
      <w:r>
        <w:t xml:space="preserve"> in foods have not been identified. </w:t>
      </w:r>
    </w:p>
    <w:p w14:paraId="0509E786" w14:textId="26EADAC1" w:rsidR="006D42B6" w:rsidRDefault="009A4AE1" w:rsidP="00381294">
      <w:pPr>
        <w:pStyle w:val="Heading3"/>
      </w:pPr>
      <w:bookmarkStart w:id="51" w:name="_Toc49506064"/>
      <w:bookmarkStart w:id="52" w:name="_Toc49506912"/>
      <w:bookmarkStart w:id="53" w:name="_Toc54273225"/>
      <w:r>
        <w:t>V</w:t>
      </w:r>
      <w:r w:rsidR="00A340E8">
        <w:t>oluntary reformulation</w:t>
      </w:r>
      <w:bookmarkEnd w:id="51"/>
      <w:bookmarkEnd w:id="52"/>
      <w:bookmarkEnd w:id="53"/>
    </w:p>
    <w:p w14:paraId="39ADDEB3" w14:textId="25E364FC" w:rsidR="00436A76" w:rsidRDefault="00A940A6" w:rsidP="00381294">
      <w:r>
        <w:t>V</w:t>
      </w:r>
      <w:r w:rsidR="00670DB7">
        <w:t xml:space="preserve">oluntary reformulation involves the food </w:t>
      </w:r>
      <w:r w:rsidR="00791693">
        <w:t xml:space="preserve">and drink </w:t>
      </w:r>
      <w:r w:rsidR="00670DB7">
        <w:t xml:space="preserve">industry voluntarily </w:t>
      </w:r>
      <w:r w:rsidR="00145D68">
        <w:t>reformulating</w:t>
      </w:r>
      <w:r w:rsidR="00670DB7">
        <w:t xml:space="preserve"> </w:t>
      </w:r>
      <w:r w:rsidR="00791693">
        <w:t>produc</w:t>
      </w:r>
      <w:r w:rsidR="00AE06CD">
        <w:t>ts</w:t>
      </w:r>
      <w:r w:rsidR="00232AA7">
        <w:t xml:space="preserve"> </w:t>
      </w:r>
      <w:r w:rsidR="00670DB7">
        <w:t>to improve the</w:t>
      </w:r>
      <w:r w:rsidR="00791693">
        <w:t>ir</w:t>
      </w:r>
      <w:r w:rsidR="003D784C">
        <w:t xml:space="preserve"> nutrient profile</w:t>
      </w:r>
      <w:r w:rsidR="00670DB7">
        <w:t xml:space="preserve">. </w:t>
      </w:r>
      <w:r w:rsidR="008F436B">
        <w:t xml:space="preserve">This may occur with or without Government partnership and engagement. </w:t>
      </w:r>
    </w:p>
    <w:p w14:paraId="7F04196F" w14:textId="3E1F848E" w:rsidR="002105A1" w:rsidRDefault="008300BA" w:rsidP="00381294">
      <w:r>
        <w:t>Voluntary reformu</w:t>
      </w:r>
      <w:r w:rsidR="00FC5F6F">
        <w:t>lation</w:t>
      </w:r>
      <w:r>
        <w:t xml:space="preserve"> rel</w:t>
      </w:r>
      <w:r w:rsidR="00FC5F6F">
        <w:t xml:space="preserve">ies </w:t>
      </w:r>
      <w:r>
        <w:t xml:space="preserve">on the goodwill and co-operation of the food industry and there is limited leverage available to Governments to encourage the food industry to reformulate </w:t>
      </w:r>
      <w:r w:rsidRPr="00110EB0">
        <w:t xml:space="preserve">their foods. </w:t>
      </w:r>
      <w:r w:rsidR="00327A4C" w:rsidRPr="00110EB0">
        <w:t xml:space="preserve">There is no incentive for industry to participate in voluntary reformulation and </w:t>
      </w:r>
      <w:r w:rsidR="007F5918" w:rsidRPr="00110EB0">
        <w:t xml:space="preserve">there may be </w:t>
      </w:r>
      <w:r w:rsidR="00327A4C" w:rsidRPr="00110EB0">
        <w:t xml:space="preserve">limited accountability </w:t>
      </w:r>
      <w:r w:rsidR="007F5918" w:rsidRPr="00110EB0">
        <w:t xml:space="preserve">if voluntary targets are not achieved. </w:t>
      </w:r>
      <w:r w:rsidR="002105A1" w:rsidRPr="00110EB0">
        <w:t xml:space="preserve">However, certain </w:t>
      </w:r>
      <w:r w:rsidR="00BA6D4D" w:rsidRPr="00110EB0">
        <w:t xml:space="preserve">program </w:t>
      </w:r>
      <w:r w:rsidR="002105A1" w:rsidRPr="00110EB0">
        <w:t xml:space="preserve">design elements can assist in </w:t>
      </w:r>
      <w:r w:rsidR="00327A4C" w:rsidRPr="00110EB0">
        <w:t xml:space="preserve">improving the effectiveness of </w:t>
      </w:r>
      <w:r w:rsidR="002105A1" w:rsidRPr="00110EB0">
        <w:t>voluntary reformulation programs</w:t>
      </w:r>
      <w:r w:rsidR="001B64CF" w:rsidRPr="00110EB0">
        <w:t xml:space="preserve">. </w:t>
      </w:r>
      <w:r w:rsidR="00230927" w:rsidRPr="00110EB0">
        <w:t xml:space="preserve">These include </w:t>
      </w:r>
      <w:r w:rsidR="002105A1" w:rsidRPr="00110EB0">
        <w:t>a high degree of Government oversight and corporate accountability, concrete timelines and targets</w:t>
      </w:r>
      <w:r w:rsidR="00230927" w:rsidRPr="00110EB0">
        <w:t xml:space="preserve"> for reformulation</w:t>
      </w:r>
      <w:r w:rsidR="002105A1" w:rsidRPr="00110EB0">
        <w:t>, regular monitoring</w:t>
      </w:r>
      <w:r w:rsidR="00230927" w:rsidRPr="00110EB0">
        <w:t xml:space="preserve"> of progress</w:t>
      </w:r>
      <w:r w:rsidR="002105A1" w:rsidRPr="00110EB0">
        <w:t>, transparency, incentives for compliance</w:t>
      </w:r>
      <w:r w:rsidR="00230927" w:rsidRPr="00110EB0">
        <w:t>,</w:t>
      </w:r>
      <w:r w:rsidR="002105A1" w:rsidRPr="00110EB0">
        <w:t xml:space="preserve"> and consequences for non-compliance</w:t>
      </w:r>
      <w:r w:rsidR="002105A1" w:rsidRPr="00110EB0">
        <w:rPr>
          <w:rStyle w:val="FootnoteReference"/>
        </w:rPr>
        <w:footnoteReference w:id="61"/>
      </w:r>
      <w:r w:rsidR="002105A1" w:rsidRPr="00110EB0">
        <w:t>.</w:t>
      </w:r>
    </w:p>
    <w:p w14:paraId="2002A1BF" w14:textId="256C581A" w:rsidR="008300BA" w:rsidRDefault="001053AF" w:rsidP="00381294">
      <w:r>
        <w:t>As</w:t>
      </w:r>
      <w:r w:rsidR="00801BCF">
        <w:t xml:space="preserve"> voluntary reformulation is not legislated,</w:t>
      </w:r>
      <w:r w:rsidR="008300BA">
        <w:t xml:space="preserve"> the regulatory </w:t>
      </w:r>
      <w:r w:rsidR="00FC5F6F">
        <w:t xml:space="preserve">and administrative </w:t>
      </w:r>
      <w:r w:rsidR="008300BA">
        <w:t xml:space="preserve">burden of voluntary reformulation activities is less than </w:t>
      </w:r>
      <w:r>
        <w:t>establishing</w:t>
      </w:r>
      <w:r w:rsidR="008300BA">
        <w:t xml:space="preserve"> </w:t>
      </w:r>
      <w:r w:rsidR="00801BCF">
        <w:t xml:space="preserve">mandatory </w:t>
      </w:r>
      <w:r w:rsidR="008300BA">
        <w:t xml:space="preserve">compositional limits and there are no impacts on trade. </w:t>
      </w:r>
      <w:r w:rsidR="00FC5F6F">
        <w:t xml:space="preserve">As voluntary reformulation does not involve regulatory change (which can be a long and complex process), it can also be more flexible and </w:t>
      </w:r>
      <w:r>
        <w:t xml:space="preserve">may be </w:t>
      </w:r>
      <w:r w:rsidR="00FC5F6F">
        <w:t xml:space="preserve">better suited to supporting gradual and incremental changes in food composition compared to mandatory compositional limits. </w:t>
      </w:r>
      <w:r w:rsidR="00277B95">
        <w:t xml:space="preserve">Gradual and incremental reformulation has been shown to </w:t>
      </w:r>
      <w:r w:rsidR="00277B95">
        <w:lastRenderedPageBreak/>
        <w:t>be important to support consumers to adjust to changes in food composition</w:t>
      </w:r>
      <w:r w:rsidR="00277B95">
        <w:rPr>
          <w:rStyle w:val="FootnoteReference"/>
        </w:rPr>
        <w:footnoteReference w:id="62"/>
      </w:r>
      <w:r w:rsidR="00277B95">
        <w:t xml:space="preserve">. Voluntary reformulation may also be more likely to achieve greater possibilities for change in individual products, rather than products having to meet a specific mandated level that is a “one size fits all” approach for the whole category, so therefore the lowest common denominator. </w:t>
      </w:r>
    </w:p>
    <w:p w14:paraId="0FF9ACA3" w14:textId="29CF3531" w:rsidR="00670DB7" w:rsidRPr="0069466F" w:rsidRDefault="00F90B5B" w:rsidP="00381294">
      <w:r>
        <w:t xml:space="preserve">Voluntary reformulation activities </w:t>
      </w:r>
      <w:r w:rsidR="004B1E19">
        <w:t xml:space="preserve">align with the Forum’s approach for supporting healthier food choices, such as through the voluntary HSR system. Voluntary reformulation </w:t>
      </w:r>
      <w:r w:rsidR="001F01E9">
        <w:t>activities</w:t>
      </w:r>
      <w:r w:rsidR="004B1E19">
        <w:t xml:space="preserve"> </w:t>
      </w:r>
      <w:r>
        <w:t xml:space="preserve">in Australia, New Zealand, and internationally are explored below. </w:t>
      </w:r>
    </w:p>
    <w:p w14:paraId="6803AE6F" w14:textId="1F6C7002" w:rsidR="006D42B6" w:rsidRDefault="00A340E8" w:rsidP="00D43A05">
      <w:pPr>
        <w:pStyle w:val="Heading4"/>
        <w:spacing w:after="80"/>
      </w:pPr>
      <w:r>
        <w:t xml:space="preserve">Voluntary reformulation initiatives in </w:t>
      </w:r>
      <w:r w:rsidR="006D42B6" w:rsidRPr="00C3254F">
        <w:t>Australia</w:t>
      </w:r>
    </w:p>
    <w:p w14:paraId="122C818A" w14:textId="4C360D70" w:rsidR="00A340E8" w:rsidRDefault="0033317A" w:rsidP="00A340E8">
      <w:pPr>
        <w:spacing w:after="80"/>
      </w:pPr>
      <w:r>
        <w:rPr>
          <w:rStyle w:val="Heading5Char"/>
        </w:rPr>
        <w:t xml:space="preserve">Australian </w:t>
      </w:r>
      <w:r w:rsidR="006D42B6" w:rsidRPr="00D43A05">
        <w:rPr>
          <w:rStyle w:val="Heading5Char"/>
        </w:rPr>
        <w:t>Healthy Food Partnership</w:t>
      </w:r>
    </w:p>
    <w:p w14:paraId="41361F4C" w14:textId="77777777" w:rsidR="00A340E8" w:rsidRDefault="00A340E8" w:rsidP="006D42B6">
      <w:r>
        <w:t xml:space="preserve">The </w:t>
      </w:r>
      <w:r w:rsidR="006D42B6">
        <w:t>Healthy Food Partnership</w:t>
      </w:r>
      <w:r>
        <w:t xml:space="preserve"> is an Australian Government initiative which </w:t>
      </w:r>
      <w:r w:rsidRPr="00A340E8">
        <w:t>provides a mechanism for government, the public health sector and the food industry to cooperatively tackle obesity, encourage healthy eating and empower food manufac</w:t>
      </w:r>
      <w:r>
        <w:t xml:space="preserve">turers to make positive changes. </w:t>
      </w:r>
    </w:p>
    <w:p w14:paraId="47FA07F5" w14:textId="44AB402A" w:rsidR="00CC4CBB" w:rsidRPr="00110EB0" w:rsidRDefault="00A340E8" w:rsidP="006D42B6">
      <w:r>
        <w:t>The</w:t>
      </w:r>
      <w:r w:rsidR="006D42B6">
        <w:t xml:space="preserve"> Reformulation Working Group </w:t>
      </w:r>
      <w:r>
        <w:t xml:space="preserve">under the Healthy Food Partnership </w:t>
      </w:r>
      <w:r w:rsidR="006D42B6">
        <w:t xml:space="preserve">has considered draft voluntary </w:t>
      </w:r>
      <w:r w:rsidR="006D42B6" w:rsidRPr="00110EB0">
        <w:t xml:space="preserve">targets for sodium, sugar and saturated fat, </w:t>
      </w:r>
      <w:proofErr w:type="gramStart"/>
      <w:r w:rsidR="006D42B6" w:rsidRPr="00110EB0">
        <w:t>taking into account</w:t>
      </w:r>
      <w:proofErr w:type="gramEnd"/>
      <w:r w:rsidR="006D42B6" w:rsidRPr="00110EB0">
        <w:t xml:space="preserve"> stakeholder feedback from a public consultation process held in 2018. </w:t>
      </w:r>
    </w:p>
    <w:p w14:paraId="78C9634C" w14:textId="1C809605" w:rsidR="00CC4CBB" w:rsidRDefault="00CC4CBB" w:rsidP="006D42B6">
      <w:r w:rsidRPr="00110EB0">
        <w:t xml:space="preserve">The process </w:t>
      </w:r>
      <w:r w:rsidR="008D6C95" w:rsidRPr="00110EB0">
        <w:t>for</w:t>
      </w:r>
      <w:r w:rsidRPr="00110EB0">
        <w:t xml:space="preserve"> identifying food categories for establishing targets involved identifying processed foods and beverages that contribute to ≥1% total population intake, considering whether the mean, median and maximum levels the nutrient in the selected food category warrants reformulation, and determining whether evidence suggests reformulation is feasible for that nutrient and food category.</w:t>
      </w:r>
      <w:r>
        <w:t xml:space="preserve"> </w:t>
      </w:r>
    </w:p>
    <w:p w14:paraId="346176FF" w14:textId="77777777" w:rsidR="00521A18" w:rsidRDefault="006D42B6" w:rsidP="006D42B6">
      <w:r>
        <w:t>Wave 1</w:t>
      </w:r>
      <w:r w:rsidR="00EB695C">
        <w:t xml:space="preserve"> reformulation</w:t>
      </w:r>
      <w:r w:rsidRPr="00CE71CF">
        <w:t xml:space="preserve"> targets </w:t>
      </w:r>
      <w:r w:rsidR="00EB695C">
        <w:t xml:space="preserve">were </w:t>
      </w:r>
      <w:r>
        <w:t xml:space="preserve">endorsed </w:t>
      </w:r>
      <w:r w:rsidR="00EB695C">
        <w:t xml:space="preserve">in February 2020 </w:t>
      </w:r>
      <w:r>
        <w:t>by the</w:t>
      </w:r>
      <w:r w:rsidRPr="00CE71CF">
        <w:t xml:space="preserve"> Partnership Executive Committee</w:t>
      </w:r>
      <w:r>
        <w:t xml:space="preserve"> for breads (sodium), cheese (sodium), crumbed and battered proteins (sodium) gravies and sauces (sodium), pizza (sodium and saturated fat), processed meats (sodium),</w:t>
      </w:r>
      <w:r w:rsidR="00A05DD7">
        <w:t xml:space="preserve"> frankfurt</w:t>
      </w:r>
      <w:r w:rsidR="001D54FC">
        <w:t>er</w:t>
      </w:r>
      <w:r w:rsidR="00A05DD7">
        <w:t>s and s</w:t>
      </w:r>
      <w:r w:rsidR="005C7281">
        <w:t>aveloys (sodium and saturated fat),</w:t>
      </w:r>
      <w:r>
        <w:t xml:space="preserve"> sausages (sodium and saturated fat), savoury biscuits (sodium), savoury pastries (sodium and saturated fat), savoury snacks (sodium), soups (sodium) and sweet bakery (sodium)</w:t>
      </w:r>
      <w:r w:rsidRPr="00CE71CF">
        <w:t>.</w:t>
      </w:r>
      <w:r>
        <w:t xml:space="preserve"> </w:t>
      </w:r>
    </w:p>
    <w:p w14:paraId="7C2538E5" w14:textId="31976BB2" w:rsidR="00373C0A" w:rsidRPr="00110EB0" w:rsidRDefault="00521A18" w:rsidP="006D42B6">
      <w:r w:rsidRPr="00110EB0">
        <w:t xml:space="preserve">A </w:t>
      </w:r>
      <w:r w:rsidR="00906360" w:rsidRPr="00110EB0">
        <w:t xml:space="preserve">brief </w:t>
      </w:r>
      <w:r w:rsidRPr="00110EB0">
        <w:t xml:space="preserve">comparison of the Wave 1 </w:t>
      </w:r>
      <w:r w:rsidR="00D14D7C" w:rsidRPr="00110EB0">
        <w:t xml:space="preserve">sodium </w:t>
      </w:r>
      <w:r w:rsidRPr="00110EB0">
        <w:t xml:space="preserve">reformulation targets </w:t>
      </w:r>
      <w:r w:rsidR="00D14D7C" w:rsidRPr="00110EB0">
        <w:t>against</w:t>
      </w:r>
      <w:r w:rsidRPr="00110EB0">
        <w:t xml:space="preserve"> international </w:t>
      </w:r>
      <w:r w:rsidR="00906360" w:rsidRPr="00110EB0">
        <w:t>voluntary</w:t>
      </w:r>
      <w:r w:rsidR="00D14D7C" w:rsidRPr="00110EB0">
        <w:t xml:space="preserve"> targets</w:t>
      </w:r>
      <w:r w:rsidR="00906360" w:rsidRPr="00110EB0">
        <w:t xml:space="preserve"> and </w:t>
      </w:r>
      <w:r w:rsidRPr="00110EB0">
        <w:t>mandatory</w:t>
      </w:r>
      <w:r w:rsidR="00D14D7C" w:rsidRPr="00110EB0">
        <w:t xml:space="preserve"> limits</w:t>
      </w:r>
      <w:r w:rsidRPr="00110EB0">
        <w:t xml:space="preserve"> is provided at </w:t>
      </w:r>
      <w:r w:rsidRPr="00110EB0">
        <w:rPr>
          <w:u w:val="single"/>
        </w:rPr>
        <w:t>Appendix</w:t>
      </w:r>
      <w:r w:rsidR="007948FA" w:rsidRPr="00110EB0">
        <w:rPr>
          <w:u w:val="single"/>
        </w:rPr>
        <w:t xml:space="preserve"> 2</w:t>
      </w:r>
      <w:r w:rsidRPr="00110EB0">
        <w:t>. The</w:t>
      </w:r>
      <w:r w:rsidR="00D14D7C" w:rsidRPr="00110EB0">
        <w:t xml:space="preserve"> Australian</w:t>
      </w:r>
      <w:r w:rsidRPr="00110EB0">
        <w:t xml:space="preserve"> Healthy Food Partnership targets are mostly in line with, or below, </w:t>
      </w:r>
      <w:r w:rsidR="00D14D7C" w:rsidRPr="00110EB0">
        <w:t>targets/limits</w:t>
      </w:r>
      <w:r w:rsidRPr="00110EB0">
        <w:t xml:space="preserve"> in countries such as the United Kingdom, Br</w:t>
      </w:r>
      <w:r w:rsidR="00D14D7C" w:rsidRPr="00110EB0">
        <w:t>azil, Argentina, Canada and</w:t>
      </w:r>
      <w:r w:rsidRPr="00110EB0">
        <w:t xml:space="preserve"> outlined by the World Health Organization’s Pan America Health Organisation (PAHO). </w:t>
      </w:r>
      <w:r w:rsidR="00906360" w:rsidRPr="00110EB0">
        <w:t>In</w:t>
      </w:r>
      <w:r w:rsidR="00D14D7C" w:rsidRPr="00110EB0">
        <w:t xml:space="preserve"> some categories the targets</w:t>
      </w:r>
      <w:r w:rsidRPr="00110EB0">
        <w:t xml:space="preserve"> set internationally (mostly in the United Kingdom) are lower than the Australian targets. For example, only the </w:t>
      </w:r>
      <w:r w:rsidR="007902D7" w:rsidRPr="00110EB0">
        <w:t>United Kingdom</w:t>
      </w:r>
      <w:r w:rsidRPr="00110EB0">
        <w:t xml:space="preserve"> has a lower</w:t>
      </w:r>
      <w:r w:rsidR="00D14D7C" w:rsidRPr="00110EB0">
        <w:t xml:space="preserve"> target</w:t>
      </w:r>
      <w:r w:rsidRPr="00110EB0">
        <w:t xml:space="preserve"> for sodium in breads at 350mg/100g compared to the Australian target of 380mg/100g, with the other international examples having higher </w:t>
      </w:r>
      <w:r w:rsidR="00D14D7C" w:rsidRPr="00110EB0">
        <w:t xml:space="preserve">sodium levels, </w:t>
      </w:r>
      <w:r w:rsidRPr="00110EB0">
        <w:t xml:space="preserve">up to 600mg/100g. All </w:t>
      </w:r>
      <w:r w:rsidR="00906360" w:rsidRPr="00110EB0">
        <w:t xml:space="preserve">international </w:t>
      </w:r>
      <w:r w:rsidRPr="00110EB0">
        <w:t>sodium limits</w:t>
      </w:r>
      <w:r w:rsidR="00D14D7C" w:rsidRPr="00110EB0">
        <w:t>/targets</w:t>
      </w:r>
      <w:r w:rsidRPr="00110EB0">
        <w:t xml:space="preserve"> for Frankfurter and saveloys were lower than the </w:t>
      </w:r>
      <w:r w:rsidR="00D14D7C" w:rsidRPr="00110EB0">
        <w:t>Healthy Food Partnership</w:t>
      </w:r>
      <w:r w:rsidRPr="00110EB0">
        <w:t xml:space="preserve"> targets, however, </w:t>
      </w:r>
      <w:r w:rsidR="00D14D7C" w:rsidRPr="00110EB0">
        <w:t>Healthy Food Partnership</w:t>
      </w:r>
      <w:r w:rsidRPr="00110EB0">
        <w:t xml:space="preserve"> targets </w:t>
      </w:r>
      <w:r w:rsidR="00761B14" w:rsidRPr="00110EB0">
        <w:t xml:space="preserve">for sausages </w:t>
      </w:r>
      <w:r w:rsidRPr="00110EB0">
        <w:t>were lower than limits</w:t>
      </w:r>
      <w:r w:rsidR="00D14D7C" w:rsidRPr="00110EB0">
        <w:t>/targets</w:t>
      </w:r>
      <w:r w:rsidRPr="00110EB0">
        <w:t xml:space="preserve"> set internationally.</w:t>
      </w:r>
      <w:r w:rsidR="00D14D7C" w:rsidRPr="00110EB0">
        <w:t xml:space="preserve"> A comparison between the Australian targets for </w:t>
      </w:r>
      <w:r w:rsidR="00761B14" w:rsidRPr="00110EB0">
        <w:t>saturated fat reformulation</w:t>
      </w:r>
      <w:r w:rsidR="00D14D7C" w:rsidRPr="00110EB0">
        <w:t xml:space="preserve"> and international examples was not possible </w:t>
      </w:r>
      <w:r w:rsidR="00761B14" w:rsidRPr="00110EB0">
        <w:t>as</w:t>
      </w:r>
      <w:r w:rsidR="00D14D7C" w:rsidRPr="00110EB0">
        <w:t xml:space="preserve"> s</w:t>
      </w:r>
      <w:r w:rsidR="00761B14" w:rsidRPr="00110EB0">
        <w:t>aturated fat</w:t>
      </w:r>
      <w:r w:rsidR="00D14D7C" w:rsidRPr="00110EB0">
        <w:t xml:space="preserve"> reformulation</w:t>
      </w:r>
      <w:r w:rsidR="00761B14" w:rsidRPr="00110EB0">
        <w:t xml:space="preserve"> is limited</w:t>
      </w:r>
      <w:r w:rsidR="00D14D7C" w:rsidRPr="00110EB0">
        <w:t xml:space="preserve"> internationally. </w:t>
      </w:r>
    </w:p>
    <w:p w14:paraId="490ED27B" w14:textId="17294E56" w:rsidR="00A340E8" w:rsidRDefault="00C55A9C" w:rsidP="006D42B6">
      <w:pPr>
        <w:rPr>
          <w:lang w:eastAsia="en-AU"/>
        </w:rPr>
      </w:pPr>
      <w:r w:rsidRPr="00110EB0">
        <w:rPr>
          <w:lang w:eastAsia="en-AU"/>
        </w:rPr>
        <w:lastRenderedPageBreak/>
        <w:t xml:space="preserve">The implementation of Wave 1 targets is in its early stages and </w:t>
      </w:r>
      <w:r w:rsidR="00606FFC" w:rsidRPr="00110EB0">
        <w:rPr>
          <w:lang w:eastAsia="en-AU"/>
        </w:rPr>
        <w:t xml:space="preserve">therefore </w:t>
      </w:r>
      <w:r w:rsidRPr="00110EB0">
        <w:rPr>
          <w:lang w:eastAsia="en-AU"/>
        </w:rPr>
        <w:t xml:space="preserve">the levels of sodium and saturated fat in targeted food categories has not yet been reduced. </w:t>
      </w:r>
      <w:r w:rsidR="00373C0A" w:rsidRPr="00110EB0">
        <w:rPr>
          <w:lang w:eastAsia="en-AU"/>
        </w:rPr>
        <w:t xml:space="preserve">Each target has an implementation period of four years, with reports on progress due at year </w:t>
      </w:r>
      <w:r w:rsidR="005D7C6B">
        <w:rPr>
          <w:lang w:eastAsia="en-AU"/>
        </w:rPr>
        <w:t>two</w:t>
      </w:r>
      <w:r w:rsidR="005D7C6B" w:rsidRPr="00110EB0">
        <w:rPr>
          <w:lang w:eastAsia="en-AU"/>
        </w:rPr>
        <w:t xml:space="preserve"> </w:t>
      </w:r>
      <w:r w:rsidR="00373C0A" w:rsidRPr="00110EB0">
        <w:rPr>
          <w:lang w:eastAsia="en-AU"/>
        </w:rPr>
        <w:t xml:space="preserve">and after year </w:t>
      </w:r>
      <w:r w:rsidR="005D7C6B">
        <w:rPr>
          <w:lang w:eastAsia="en-AU"/>
        </w:rPr>
        <w:t>four</w:t>
      </w:r>
      <w:r w:rsidR="00881E82" w:rsidRPr="00110EB0">
        <w:rPr>
          <w:lang w:eastAsia="en-AU"/>
        </w:rPr>
        <w:t>.</w:t>
      </w:r>
      <w:r w:rsidR="6CCCF0F3" w:rsidRPr="00110EB0">
        <w:rPr>
          <w:lang w:eastAsia="en-AU"/>
        </w:rPr>
        <w:t xml:space="preserve"> Targets </w:t>
      </w:r>
      <w:r w:rsidR="00B47AB0" w:rsidRPr="00110EB0">
        <w:rPr>
          <w:lang w:eastAsia="en-AU"/>
        </w:rPr>
        <w:t xml:space="preserve">will </w:t>
      </w:r>
      <w:r w:rsidR="6CCCF0F3" w:rsidRPr="00110EB0">
        <w:rPr>
          <w:lang w:eastAsia="en-AU"/>
        </w:rPr>
        <w:t>apply to 80</w:t>
      </w:r>
      <w:r w:rsidR="29876FCC" w:rsidRPr="00110EB0">
        <w:rPr>
          <w:lang w:eastAsia="en-AU"/>
        </w:rPr>
        <w:t>%</w:t>
      </w:r>
      <w:r w:rsidR="6CCCF0F3" w:rsidRPr="00110EB0">
        <w:rPr>
          <w:lang w:eastAsia="en-AU"/>
        </w:rPr>
        <w:t xml:space="preserve"> of the product category and businesses are required to show effor</w:t>
      </w:r>
      <w:r w:rsidR="57B9351A" w:rsidRPr="00110EB0">
        <w:rPr>
          <w:lang w:eastAsia="en-AU"/>
        </w:rPr>
        <w:t>t</w:t>
      </w:r>
      <w:r w:rsidR="6CCCF0F3" w:rsidRPr="00110EB0">
        <w:rPr>
          <w:lang w:eastAsia="en-AU"/>
        </w:rPr>
        <w:t xml:space="preserve"> towards reformulating </w:t>
      </w:r>
      <w:r w:rsidR="38395634" w:rsidRPr="00110EB0">
        <w:rPr>
          <w:lang w:eastAsia="en-AU"/>
        </w:rPr>
        <w:t>the remaining 20</w:t>
      </w:r>
      <w:r w:rsidR="2C0695B5" w:rsidRPr="00110EB0">
        <w:rPr>
          <w:lang w:eastAsia="en-AU"/>
        </w:rPr>
        <w:t xml:space="preserve">% </w:t>
      </w:r>
      <w:r w:rsidR="38395634" w:rsidRPr="00110EB0">
        <w:rPr>
          <w:lang w:eastAsia="en-AU"/>
        </w:rPr>
        <w:t>of products.</w:t>
      </w:r>
      <w:r w:rsidR="00232AA7" w:rsidRPr="00110EB0">
        <w:rPr>
          <w:lang w:eastAsia="en-AU"/>
        </w:rPr>
        <w:t xml:space="preserve"> </w:t>
      </w:r>
      <w:r w:rsidR="00665A2B" w:rsidRPr="00110EB0">
        <w:rPr>
          <w:lang w:eastAsia="en-AU"/>
        </w:rPr>
        <w:t xml:space="preserve">The exact approach for applying the targets to 80% of products is being explored and will be confirmed later in 2020. </w:t>
      </w:r>
      <w:r w:rsidR="002F4CA3" w:rsidRPr="00110EB0">
        <w:rPr>
          <w:lang w:eastAsia="en-AU"/>
        </w:rPr>
        <w:t xml:space="preserve">The consequences if targets are not achieved within the </w:t>
      </w:r>
      <w:proofErr w:type="gramStart"/>
      <w:r w:rsidR="005D7C6B">
        <w:rPr>
          <w:lang w:eastAsia="en-AU"/>
        </w:rPr>
        <w:t>four</w:t>
      </w:r>
      <w:r w:rsidR="005D7C6B" w:rsidRPr="00110EB0">
        <w:rPr>
          <w:lang w:eastAsia="en-AU"/>
        </w:rPr>
        <w:t xml:space="preserve"> </w:t>
      </w:r>
      <w:r w:rsidR="002F4CA3" w:rsidRPr="00110EB0">
        <w:rPr>
          <w:lang w:eastAsia="en-AU"/>
        </w:rPr>
        <w:t>year</w:t>
      </w:r>
      <w:proofErr w:type="gramEnd"/>
      <w:r w:rsidR="002F4CA3" w:rsidRPr="00110EB0">
        <w:rPr>
          <w:lang w:eastAsia="en-AU"/>
        </w:rPr>
        <w:t xml:space="preserve"> period, or </w:t>
      </w:r>
      <w:r w:rsidR="00606FFC" w:rsidRPr="00110EB0">
        <w:rPr>
          <w:lang w:eastAsia="en-AU"/>
        </w:rPr>
        <w:t xml:space="preserve">not </w:t>
      </w:r>
      <w:r w:rsidR="002F4CA3" w:rsidRPr="00110EB0">
        <w:rPr>
          <w:lang w:eastAsia="en-AU"/>
        </w:rPr>
        <w:t xml:space="preserve">on track for achievement in the </w:t>
      </w:r>
      <w:r w:rsidR="005D7C6B">
        <w:rPr>
          <w:lang w:eastAsia="en-AU"/>
        </w:rPr>
        <w:t>two</w:t>
      </w:r>
      <w:r w:rsidR="005D7C6B" w:rsidRPr="00110EB0">
        <w:rPr>
          <w:lang w:eastAsia="en-AU"/>
        </w:rPr>
        <w:t xml:space="preserve"> </w:t>
      </w:r>
      <w:r w:rsidR="002F4CA3" w:rsidRPr="00110EB0">
        <w:rPr>
          <w:lang w:eastAsia="en-AU"/>
        </w:rPr>
        <w:t xml:space="preserve">year period, </w:t>
      </w:r>
      <w:r w:rsidR="00521A18" w:rsidRPr="00110EB0">
        <w:rPr>
          <w:lang w:eastAsia="en-AU"/>
        </w:rPr>
        <w:t>are yet to be</w:t>
      </w:r>
      <w:r w:rsidR="00333940" w:rsidRPr="00110EB0">
        <w:rPr>
          <w:lang w:eastAsia="en-AU"/>
        </w:rPr>
        <w:t xml:space="preserve"> considered</w:t>
      </w:r>
      <w:r w:rsidR="002F4CA3" w:rsidRPr="00110EB0">
        <w:rPr>
          <w:lang w:eastAsia="en-AU"/>
        </w:rPr>
        <w:t xml:space="preserve">. </w:t>
      </w:r>
      <w:r w:rsidR="007F5918" w:rsidRPr="00110EB0">
        <w:rPr>
          <w:lang w:eastAsia="en-AU"/>
        </w:rPr>
        <w:t xml:space="preserve">It is also yet to be determined whether reformulation targets would be lowered if voluntary targets are met, which </w:t>
      </w:r>
      <w:r w:rsidR="008312F4" w:rsidRPr="00110EB0">
        <w:rPr>
          <w:lang w:eastAsia="en-AU"/>
        </w:rPr>
        <w:t xml:space="preserve">is </w:t>
      </w:r>
      <w:r w:rsidR="007F5918" w:rsidRPr="00110EB0">
        <w:rPr>
          <w:lang w:eastAsia="en-AU"/>
        </w:rPr>
        <w:t>an important element of effective reformulation programs, and allows con</w:t>
      </w:r>
      <w:r w:rsidR="00644C1F" w:rsidRPr="00110EB0">
        <w:rPr>
          <w:lang w:eastAsia="en-AU"/>
        </w:rPr>
        <w:t>sumers’ taste preferences to gradually adjust</w:t>
      </w:r>
      <w:r w:rsidR="007F5918" w:rsidRPr="00110EB0">
        <w:rPr>
          <w:lang w:eastAsia="en-AU"/>
        </w:rPr>
        <w:t xml:space="preserve"> to accept foods with less sugar or sodium.</w:t>
      </w:r>
      <w:r w:rsidR="007F5918">
        <w:rPr>
          <w:lang w:eastAsia="en-AU"/>
        </w:rPr>
        <w:t xml:space="preserve"> </w:t>
      </w:r>
    </w:p>
    <w:p w14:paraId="0B84B02C" w14:textId="74916D3D" w:rsidR="006D42B6" w:rsidRDefault="00373C0A" w:rsidP="006D42B6">
      <w:r>
        <w:t>A</w:t>
      </w:r>
      <w:r w:rsidR="006D42B6">
        <w:t xml:space="preserve"> second wave of targets is currently under consideration for foods such as breakfast cereals (sugar and sodium), ready meals (sodium), beverages (sugar)</w:t>
      </w:r>
      <w:r w:rsidR="005C7281">
        <w:t>, muesli and snack bars (sugar)</w:t>
      </w:r>
      <w:r w:rsidR="006D42B6">
        <w:t xml:space="preserve"> and sweetened yoghurts (sugar)</w:t>
      </w:r>
      <w:r w:rsidR="00232AA7">
        <w:t xml:space="preserve"> and are anticipated to be considered by the Executive Committee later in 2020. </w:t>
      </w:r>
    </w:p>
    <w:p w14:paraId="0A18B3ED" w14:textId="20AFAB24" w:rsidR="00704433" w:rsidRDefault="00704433" w:rsidP="006D42B6">
      <w:r>
        <w:t xml:space="preserve">The Healthy Food Partnership </w:t>
      </w:r>
      <w:r w:rsidR="001D54FC">
        <w:t xml:space="preserve">follows </w:t>
      </w:r>
      <w:r>
        <w:t xml:space="preserve">the Food and Health Dialogue, a voluntary reformulation program led by the Australian Government. Between 2009 and 2015 the Food and Health Dialogue </w:t>
      </w:r>
      <w:r w:rsidRPr="00110EB0">
        <w:t xml:space="preserve">achieved significant reductions in the average sodium content of </w:t>
      </w:r>
      <w:proofErr w:type="gramStart"/>
      <w:r w:rsidRPr="00110EB0">
        <w:t>a number of</w:t>
      </w:r>
      <w:proofErr w:type="gramEnd"/>
      <w:r w:rsidRPr="00110EB0">
        <w:t xml:space="preserve"> food categories, including savoury pies and pastries, soups, breads, breakfast cereals and processed meats</w:t>
      </w:r>
      <w:r w:rsidRPr="00110EB0">
        <w:rPr>
          <w:rStyle w:val="FootnoteReference"/>
        </w:rPr>
        <w:footnoteReference w:id="63"/>
      </w:r>
      <w:r w:rsidRPr="00110EB0">
        <w:t xml:space="preserve">. </w:t>
      </w:r>
      <w:r w:rsidR="00E078B2" w:rsidRPr="00110EB0">
        <w:t>It is not known whether the reductions in sodium content of foods resulted in reduced sodium consumption on a national level. The timing of national nutrition surveys in Australia (1995 and 2011</w:t>
      </w:r>
      <w:r w:rsidR="00983CE7">
        <w:t>-</w:t>
      </w:r>
      <w:r w:rsidR="00E078B2" w:rsidRPr="00110EB0">
        <w:t>12) does not enable this analysis.</w:t>
      </w:r>
      <w:r w:rsidR="00E078B2">
        <w:t xml:space="preserve"> </w:t>
      </w:r>
    </w:p>
    <w:p w14:paraId="35333A1E" w14:textId="75426A96" w:rsidR="00A340E8" w:rsidRDefault="00A340E8" w:rsidP="00145D68">
      <w:pPr>
        <w:rPr>
          <w:rStyle w:val="Heading5Char"/>
        </w:rPr>
      </w:pPr>
      <w:r>
        <w:rPr>
          <w:rStyle w:val="Heading5Char"/>
        </w:rPr>
        <w:t>Australian industry i</w:t>
      </w:r>
      <w:r w:rsidR="006D42B6" w:rsidRPr="00FE0358">
        <w:rPr>
          <w:rStyle w:val="Heading5Char"/>
        </w:rPr>
        <w:t>nitiatives</w:t>
      </w:r>
    </w:p>
    <w:p w14:paraId="2D77FDA9" w14:textId="313852C8" w:rsidR="00145D68" w:rsidRDefault="003B3A96" w:rsidP="00145D68">
      <w:r>
        <w:t xml:space="preserve">The food industry </w:t>
      </w:r>
      <w:r w:rsidR="00A340E8">
        <w:t xml:space="preserve">in Australia also </w:t>
      </w:r>
      <w:r>
        <w:t xml:space="preserve">undertakes its own initiatives to improve the </w:t>
      </w:r>
      <w:r w:rsidR="00A340E8">
        <w:t>composition of the foods it manufactures</w:t>
      </w:r>
      <w:r>
        <w:t xml:space="preserve">. </w:t>
      </w:r>
      <w:r w:rsidR="00145D68">
        <w:t>For example, a</w:t>
      </w:r>
      <w:r w:rsidR="006A69FB">
        <w:t xml:space="preserve"> survey</w:t>
      </w:r>
      <w:r w:rsidR="00CD0AC7">
        <w:rPr>
          <w:rStyle w:val="FootnoteReference"/>
        </w:rPr>
        <w:footnoteReference w:id="64"/>
      </w:r>
      <w:r w:rsidR="006A69FB">
        <w:t xml:space="preserve"> of nineteen of Australia’s largest food and beverage companies identified that sixteen companies had reported some action</w:t>
      </w:r>
      <w:r w:rsidR="001D54FC">
        <w:t xml:space="preserve"> </w:t>
      </w:r>
      <w:r w:rsidR="006A69FB">
        <w:t xml:space="preserve">or made </w:t>
      </w:r>
      <w:r>
        <w:t xml:space="preserve">some </w:t>
      </w:r>
      <w:r w:rsidR="006A69FB">
        <w:t xml:space="preserve">commitments to reformulate their products to reduce levels of nutrients of concern (as </w:t>
      </w:r>
      <w:proofErr w:type="gramStart"/>
      <w:r w:rsidR="006A69FB">
        <w:t>at</w:t>
      </w:r>
      <w:proofErr w:type="gramEnd"/>
      <w:r w:rsidR="006A69FB">
        <w:t xml:space="preserve"> </w:t>
      </w:r>
      <w:r w:rsidR="00BF4C77">
        <w:t>31 </w:t>
      </w:r>
      <w:r w:rsidR="006A69FB">
        <w:t xml:space="preserve">December 2017). </w:t>
      </w:r>
      <w:r w:rsidR="00DC4410">
        <w:t>Across</w:t>
      </w:r>
      <w:r w:rsidR="00145D68">
        <w:t xml:space="preserve"> the food companies assessed, the most common reformulation targets were for a reduction in sodium and saturated fat (8 out of 16 companies), trans fat (7 out of 16 companies), sugar and portion size of single-serve products (6 out of 19 companies). </w:t>
      </w:r>
    </w:p>
    <w:p w14:paraId="70ED36C1" w14:textId="12BCC6D7" w:rsidR="00F47457" w:rsidRDefault="005773C0" w:rsidP="77F8227F">
      <w:bookmarkStart w:id="54" w:name="_Hlk47945241"/>
      <w:r>
        <w:t>The survey reported that Nestlé, Coca-Cola, Lion Dairy &amp; Drink</w:t>
      </w:r>
      <w:r w:rsidR="00F47457">
        <w:t xml:space="preserve">s, Mars and Unilever all made reformulation </w:t>
      </w:r>
      <w:r>
        <w:t>commitment</w:t>
      </w:r>
      <w:r w:rsidR="00F47457">
        <w:t>s</w:t>
      </w:r>
      <w:r>
        <w:t xml:space="preserve"> to reduce nutrients of concern across their pr</w:t>
      </w:r>
      <w:r w:rsidR="00F47457">
        <w:t>oduct portfolios. These companies</w:t>
      </w:r>
      <w:r>
        <w:t xml:space="preserve"> had set specific, time-bound targets </w:t>
      </w:r>
      <w:r w:rsidR="00F47457">
        <w:t>to reduce</w:t>
      </w:r>
      <w:r>
        <w:t xml:space="preserve"> sodium, saturated fat and added sugars </w:t>
      </w:r>
      <w:r w:rsidR="2563C9C2">
        <w:t xml:space="preserve">content </w:t>
      </w:r>
      <w:r>
        <w:t>(where relevant)</w:t>
      </w:r>
      <w:r w:rsidR="00F47457">
        <w:t xml:space="preserve"> in their </w:t>
      </w:r>
      <w:proofErr w:type="gramStart"/>
      <w:r w:rsidR="00F47457">
        <w:t>products</w:t>
      </w:r>
      <w:r>
        <w:t>, and</w:t>
      </w:r>
      <w:proofErr w:type="gramEnd"/>
      <w:r>
        <w:t xml:space="preserve"> </w:t>
      </w:r>
      <w:r w:rsidR="00F47457">
        <w:t>had actions underway to</w:t>
      </w:r>
      <w:r>
        <w:t xml:space="preserve"> reduce portion size/energy content of single</w:t>
      </w:r>
      <w:r w:rsidR="00F47457">
        <w:t>-serve products. Several of these companies also particip</w:t>
      </w:r>
      <w:r w:rsidR="00145D68">
        <w:t>ate</w:t>
      </w:r>
      <w:r w:rsidR="00F47457">
        <w:t xml:space="preserve"> in the Australian Healthy Food Partnership. </w:t>
      </w:r>
    </w:p>
    <w:bookmarkEnd w:id="54"/>
    <w:p w14:paraId="1287E8F3" w14:textId="1282EA80" w:rsidR="00783F58" w:rsidRDefault="00783F58" w:rsidP="006D42B6">
      <w:r>
        <w:lastRenderedPageBreak/>
        <w:t>Th</w:t>
      </w:r>
      <w:r w:rsidR="2BF89B4E">
        <w:t>e same</w:t>
      </w:r>
      <w:r>
        <w:t xml:space="preserve"> survey was undertaken amongst Australian quick-service restaurants</w:t>
      </w:r>
      <w:r w:rsidR="003B3A96">
        <w:rPr>
          <w:rStyle w:val="FootnoteReference"/>
        </w:rPr>
        <w:footnoteReference w:id="65"/>
      </w:r>
      <w:r>
        <w:t xml:space="preserve"> </w:t>
      </w:r>
      <w:r w:rsidR="008074BE">
        <w:t>and supermarkets</w:t>
      </w:r>
      <w:r w:rsidR="008074BE">
        <w:rPr>
          <w:rStyle w:val="FootnoteReference"/>
        </w:rPr>
        <w:footnoteReference w:id="66"/>
      </w:r>
      <w:r w:rsidR="008074BE">
        <w:t xml:space="preserve"> </w:t>
      </w:r>
      <w:r>
        <w:t xml:space="preserve">where lower levels of commitment to reformulation were identified. </w:t>
      </w:r>
      <w:r w:rsidR="008074BE">
        <w:t>Amo</w:t>
      </w:r>
      <w:r w:rsidR="00DC4410">
        <w:t>ngst quick-service restaurants,</w:t>
      </w:r>
      <w:r w:rsidR="009B1A28">
        <w:t xml:space="preserve"> five out of eleven </w:t>
      </w:r>
      <w:r w:rsidR="00721375">
        <w:t>restaurants were identified as having</w:t>
      </w:r>
      <w:r w:rsidR="009B1A28">
        <w:t xml:space="preserve"> taken some action to reformulate m</w:t>
      </w:r>
      <w:r w:rsidR="00381294">
        <w:t xml:space="preserve">enu items to reduce levels of </w:t>
      </w:r>
      <w:r w:rsidR="00A340E8">
        <w:t>nutrients</w:t>
      </w:r>
      <w:r w:rsidR="009B1A28">
        <w:t xml:space="preserve"> of concern</w:t>
      </w:r>
      <w:r w:rsidR="00721375">
        <w:t xml:space="preserve"> (as </w:t>
      </w:r>
      <w:proofErr w:type="gramStart"/>
      <w:r w:rsidR="00721375">
        <w:t>at</w:t>
      </w:r>
      <w:proofErr w:type="gramEnd"/>
      <w:r w:rsidR="00721375">
        <w:t xml:space="preserve"> 31 December 2017). </w:t>
      </w:r>
      <w:r w:rsidR="0009428E">
        <w:t>The most common areas for reformulation were sodium (</w:t>
      </w:r>
      <w:r w:rsidR="005D7C6B">
        <w:t xml:space="preserve">five </w:t>
      </w:r>
      <w:r w:rsidR="0009428E">
        <w:t xml:space="preserve">out of </w:t>
      </w:r>
      <w:r w:rsidR="005D7C6B">
        <w:t xml:space="preserve">eleven </w:t>
      </w:r>
      <w:r w:rsidR="0009428E" w:rsidRPr="00436A76">
        <w:t>companies), fat and sugar</w:t>
      </w:r>
      <w:r w:rsidR="0009428E">
        <w:t xml:space="preserve"> (</w:t>
      </w:r>
      <w:r w:rsidR="005D7C6B">
        <w:t xml:space="preserve">five </w:t>
      </w:r>
      <w:r w:rsidR="0009428E">
        <w:t xml:space="preserve">out of </w:t>
      </w:r>
      <w:r w:rsidR="005D7C6B">
        <w:t xml:space="preserve">eleven </w:t>
      </w:r>
      <w:r w:rsidR="0009428E">
        <w:t xml:space="preserve">companies), followed by </w:t>
      </w:r>
      <w:proofErr w:type="spellStart"/>
      <w:r w:rsidR="0009428E">
        <w:t>trans fat</w:t>
      </w:r>
      <w:proofErr w:type="spellEnd"/>
      <w:r w:rsidR="0009428E">
        <w:t xml:space="preserve"> (</w:t>
      </w:r>
      <w:r w:rsidR="005D7C6B">
        <w:t xml:space="preserve">three </w:t>
      </w:r>
      <w:r w:rsidR="0009428E">
        <w:t xml:space="preserve">out of </w:t>
      </w:r>
      <w:r w:rsidR="005D7C6B">
        <w:t xml:space="preserve">eleven </w:t>
      </w:r>
      <w:r w:rsidR="0009428E">
        <w:t xml:space="preserve">companies). </w:t>
      </w:r>
    </w:p>
    <w:p w14:paraId="72BA329C" w14:textId="3767FD90" w:rsidR="008074BE" w:rsidRPr="006A69FB" w:rsidRDefault="003E25CA" w:rsidP="006D42B6">
      <w:r>
        <w:t>T</w:t>
      </w:r>
      <w:r w:rsidR="008074BE">
        <w:t xml:space="preserve">wo </w:t>
      </w:r>
      <w:r w:rsidR="6E2ED201">
        <w:t xml:space="preserve">out of four </w:t>
      </w:r>
      <w:r w:rsidR="008074BE">
        <w:t>major</w:t>
      </w:r>
      <w:r>
        <w:t xml:space="preserve"> Australian</w:t>
      </w:r>
      <w:r w:rsidR="008074BE">
        <w:t xml:space="preserve"> supermarkets were identified as having made public commitments to reduce levels of nutrients of concern within own-brand products. However, none of the </w:t>
      </w:r>
      <w:r w:rsidR="00145D68">
        <w:t xml:space="preserve">supermarkets </w:t>
      </w:r>
      <w:r w:rsidR="008074BE">
        <w:t>surveyed had set time-bound targets for future product development and reformulation of existing products</w:t>
      </w:r>
      <w:r w:rsidR="64C76CB0">
        <w:t>.</w:t>
      </w:r>
      <w:r w:rsidR="008074BE">
        <w:t xml:space="preserve"> </w:t>
      </w:r>
      <w:r w:rsidR="00145D68">
        <w:t>T</w:t>
      </w:r>
      <w:r w:rsidR="2DAE9276">
        <w:t xml:space="preserve">here was </w:t>
      </w:r>
      <w:r w:rsidR="00145D68">
        <w:t xml:space="preserve">also </w:t>
      </w:r>
      <w:r w:rsidR="008074BE">
        <w:t xml:space="preserve">limited public information </w:t>
      </w:r>
      <w:r w:rsidR="1A79E01C">
        <w:t xml:space="preserve">disclosure </w:t>
      </w:r>
      <w:r w:rsidR="76E2410D">
        <w:t xml:space="preserve">by supermarkets </w:t>
      </w:r>
      <w:r w:rsidR="008074BE">
        <w:t xml:space="preserve">about progress in achieving reformulation targets or compliance with commitments. </w:t>
      </w:r>
    </w:p>
    <w:p w14:paraId="7C673EC1" w14:textId="6832FD78" w:rsidR="006D42B6" w:rsidRDefault="00AE3565" w:rsidP="006D42B6">
      <w:r>
        <w:t>Industry sector initiatives are also in place. For example, t</w:t>
      </w:r>
      <w:r w:rsidR="006D42B6">
        <w:t xml:space="preserve">he </w:t>
      </w:r>
      <w:r w:rsidR="006D42B6" w:rsidRPr="00C4272A">
        <w:t>A</w:t>
      </w:r>
      <w:r w:rsidR="006D42B6">
        <w:t xml:space="preserve">ustralian Beverage Council announced a </w:t>
      </w:r>
      <w:r w:rsidR="006D42B6" w:rsidRPr="00C4272A">
        <w:t xml:space="preserve">pledge </w:t>
      </w:r>
      <w:r w:rsidR="00B71BE1">
        <w:t>in 2018</w:t>
      </w:r>
      <w:r w:rsidR="006D42B6" w:rsidRPr="00C4272A">
        <w:t xml:space="preserve"> to reduce the average sugar content of non-alcoho</w:t>
      </w:r>
      <w:r w:rsidR="006D42B6">
        <w:t xml:space="preserve">lic beverages </w:t>
      </w:r>
      <w:r w:rsidR="003E25CA">
        <w:t>by 20%</w:t>
      </w:r>
      <w:r w:rsidR="006D42B6">
        <w:t xml:space="preserve"> from 2015 to 2025</w:t>
      </w:r>
      <w:r w:rsidR="006D42B6">
        <w:rPr>
          <w:rStyle w:val="FootnoteReference"/>
        </w:rPr>
        <w:footnoteReference w:id="67"/>
      </w:r>
      <w:r w:rsidR="006D42B6">
        <w:t xml:space="preserve">. </w:t>
      </w:r>
      <w:r w:rsidR="006D42B6" w:rsidRPr="00C4272A">
        <w:t>The pledge aims to reduce the availability an</w:t>
      </w:r>
      <w:r w:rsidR="006D42B6">
        <w:t xml:space="preserve">d promotion of sugary drinks </w:t>
      </w:r>
      <w:r w:rsidR="006D42B6" w:rsidRPr="00C4272A">
        <w:t>to encourage reduced consumption of added sugars in the population. Pledge signatories can achieve this through a range of measures including reform</w:t>
      </w:r>
      <w:r w:rsidR="79820751">
        <w:t>ul</w:t>
      </w:r>
      <w:r w:rsidR="006D42B6" w:rsidRPr="00C4272A">
        <w:t xml:space="preserve">ation, decreasing the </w:t>
      </w:r>
      <w:proofErr w:type="gramStart"/>
      <w:r w:rsidR="006D42B6" w:rsidRPr="00C4272A">
        <w:t>amount</w:t>
      </w:r>
      <w:proofErr w:type="gramEnd"/>
      <w:r w:rsidR="006D42B6" w:rsidRPr="00C4272A">
        <w:t xml:space="preserve"> of sugary drinks available</w:t>
      </w:r>
      <w:r w:rsidR="3F26696A">
        <w:t>,</w:t>
      </w:r>
      <w:r w:rsidR="006D42B6" w:rsidRPr="00C4272A">
        <w:t xml:space="preserve"> and increasing the availability of no or low sugar beverages.</w:t>
      </w:r>
      <w:r w:rsidR="006D42B6">
        <w:t xml:space="preserve"> </w:t>
      </w:r>
    </w:p>
    <w:p w14:paraId="1FDF69DA" w14:textId="3A435983" w:rsidR="006D42B6" w:rsidRDefault="006D42B6" w:rsidP="006D42B6">
      <w:r>
        <w:t xml:space="preserve">In November 2019 </w:t>
      </w:r>
      <w:r w:rsidR="008455B2">
        <w:t xml:space="preserve">the </w:t>
      </w:r>
      <w:r w:rsidR="00AC3F1A" w:rsidRPr="00C4272A">
        <w:t>A</w:t>
      </w:r>
      <w:r w:rsidR="00AC3F1A">
        <w:t>ustralian Beverage Council</w:t>
      </w:r>
      <w:r>
        <w:t xml:space="preserve"> announced that </w:t>
      </w:r>
      <w:r w:rsidR="00792397">
        <w:t xml:space="preserve">its four </w:t>
      </w:r>
      <w:r>
        <w:t>pledge signatories had achieved a 7% reduction in sugar content across their product range between 2015 and 2018</w:t>
      </w:r>
      <w:r>
        <w:rPr>
          <w:rStyle w:val="FootnoteReference"/>
        </w:rPr>
        <w:footnoteReference w:id="68"/>
      </w:r>
      <w:r>
        <w:t xml:space="preserve">. The </w:t>
      </w:r>
      <w:r w:rsidR="006D60D0" w:rsidRPr="00C4272A">
        <w:t>A</w:t>
      </w:r>
      <w:r w:rsidR="006D60D0">
        <w:t>ustralian Beverage Council</w:t>
      </w:r>
      <w:r>
        <w:t xml:space="preserve"> has not reported how this reduction was achieved, </w:t>
      </w:r>
      <w:proofErr w:type="gramStart"/>
      <w:r>
        <w:t>i.e.</w:t>
      </w:r>
      <w:proofErr w:type="gramEnd"/>
      <w:r>
        <w:t xml:space="preserve"> whether signatories reformulated products to reduce sugar content of beverages, or </w:t>
      </w:r>
      <w:r w:rsidR="00311DBC">
        <w:t xml:space="preserve">whether </w:t>
      </w:r>
      <w:r w:rsidR="008455B2">
        <w:t xml:space="preserve">there was an </w:t>
      </w:r>
      <w:r>
        <w:t xml:space="preserve">increased availability of low or no sugar options. </w:t>
      </w:r>
    </w:p>
    <w:p w14:paraId="4DE3CF22" w14:textId="08A9B08C" w:rsidR="00AC3F1A" w:rsidRDefault="00AC3F1A" w:rsidP="00E70666">
      <w:pPr>
        <w:pStyle w:val="Heading4"/>
        <w:spacing w:after="80"/>
      </w:pPr>
      <w:r>
        <w:t>Voluntary reformulation initiatives in New Zealand</w:t>
      </w:r>
    </w:p>
    <w:p w14:paraId="6227FF46" w14:textId="1A5CAD0E" w:rsidR="00AC3F1A" w:rsidRDefault="00AC3F1A" w:rsidP="00145D68">
      <w:pPr>
        <w:rPr>
          <w:i/>
          <w:iCs/>
        </w:rPr>
      </w:pPr>
      <w:r>
        <w:rPr>
          <w:rStyle w:val="Heading5Char"/>
        </w:rPr>
        <w:t xml:space="preserve">New Zealand </w:t>
      </w:r>
      <w:r w:rsidR="006D42B6" w:rsidRPr="00381294">
        <w:rPr>
          <w:rStyle w:val="Heading5Char"/>
        </w:rPr>
        <w:t xml:space="preserve">Food Industry Taskforce </w:t>
      </w:r>
    </w:p>
    <w:p w14:paraId="33AECB7B" w14:textId="4CA65906" w:rsidR="00145D68" w:rsidRDefault="006D42B6" w:rsidP="00145D68">
      <w:r>
        <w:t xml:space="preserve">In 2018 leading New Zealand food and beverage industry members formed </w:t>
      </w:r>
      <w:r w:rsidRPr="00381294">
        <w:rPr>
          <w:i/>
        </w:rPr>
        <w:t>the Food Industry Taskforce on Addressing Factors Contributing to Obesity</w:t>
      </w:r>
      <w:r>
        <w:t xml:space="preserve"> at the request of the Ministers of Health and Food Safety. </w:t>
      </w:r>
      <w:r w:rsidR="00145D68">
        <w:t>A</w:t>
      </w:r>
      <w:r w:rsidR="5B3BF4B2">
        <w:t xml:space="preserve"> report prepared by </w:t>
      </w:r>
      <w:r>
        <w:t>the Taskforce</w:t>
      </w:r>
      <w:r w:rsidR="5B8DC9F7">
        <w:t xml:space="preserve"> </w:t>
      </w:r>
      <w:r>
        <w:t>identif</w:t>
      </w:r>
      <w:r w:rsidR="48B19067">
        <w:t>ied</w:t>
      </w:r>
      <w:r>
        <w:t xml:space="preserve"> </w:t>
      </w:r>
      <w:r w:rsidR="6E2CF02D">
        <w:t xml:space="preserve">practical </w:t>
      </w:r>
      <w:r>
        <w:t>actions that industry members could take to address obesity</w:t>
      </w:r>
      <w:r w:rsidRPr="4F93ADCF">
        <w:rPr>
          <w:rStyle w:val="FootnoteReference"/>
        </w:rPr>
        <w:footnoteReference w:id="69"/>
      </w:r>
      <w:r>
        <w:t xml:space="preserve">. A key area for action </w:t>
      </w:r>
      <w:r w:rsidR="00145D68">
        <w:t xml:space="preserve">identified in the </w:t>
      </w:r>
      <w:r w:rsidR="00145D68">
        <w:lastRenderedPageBreak/>
        <w:t xml:space="preserve">report </w:t>
      </w:r>
      <w:r>
        <w:t>was reformulation</w:t>
      </w:r>
      <w:r w:rsidR="00145D68">
        <w:t>. The report also provides information about a survey undertaken by the Taskforce with the food and beverage industry ab</w:t>
      </w:r>
      <w:r w:rsidR="004B0842">
        <w:t>out reformulation activities.</w:t>
      </w:r>
    </w:p>
    <w:p w14:paraId="61096070" w14:textId="3584B5B3" w:rsidR="00145D68" w:rsidRDefault="00AF6D33" w:rsidP="00145D68">
      <w:r>
        <w:t>T</w:t>
      </w:r>
      <w:r w:rsidR="006D42B6">
        <w:t>he Taskforce recommended that, where possible and appropriate</w:t>
      </w:r>
      <w:r w:rsidR="4A08E8AC">
        <w:t xml:space="preserve"> for New Zealand</w:t>
      </w:r>
      <w:r w:rsidR="006D42B6">
        <w:t xml:space="preserve">, industry adopt voluntary nutrient reformulation targets being developed through the Australian Healthy Food Partnership. The Government response to this report encouraged industry to prioritise reformulation of food products to reduce the content of saturated fats, trans-fats, free sugars and salt/sodium. </w:t>
      </w:r>
      <w:r w:rsidR="09B4A008">
        <w:t xml:space="preserve">The Taskforce </w:t>
      </w:r>
      <w:r w:rsidR="001356B1">
        <w:t>has since been disbanded</w:t>
      </w:r>
      <w:r w:rsidR="0133FE8E">
        <w:t xml:space="preserve"> but members </w:t>
      </w:r>
      <w:r w:rsidR="001A7828">
        <w:t xml:space="preserve">have reported </w:t>
      </w:r>
      <w:r w:rsidR="0133FE8E">
        <w:t>voluntarily working to deliver on the</w:t>
      </w:r>
      <w:r w:rsidR="13ED37A8">
        <w:t xml:space="preserve"> Taskforce’s </w:t>
      </w:r>
      <w:r w:rsidR="0133FE8E">
        <w:t>recommendations.</w:t>
      </w:r>
      <w:r w:rsidR="00145D68" w:rsidRPr="00145D68">
        <w:t xml:space="preserve"> </w:t>
      </w:r>
    </w:p>
    <w:p w14:paraId="1BA61F04" w14:textId="4338912B" w:rsidR="00145D68" w:rsidRDefault="00145D68" w:rsidP="00145D68">
      <w:pPr>
        <w:spacing w:line="257" w:lineRule="auto"/>
        <w:rPr>
          <w:rFonts w:eastAsia="Calibri"/>
        </w:rPr>
      </w:pPr>
      <w:r w:rsidRPr="00E701FE">
        <w:t xml:space="preserve">Prior to the formation of the </w:t>
      </w:r>
      <w:proofErr w:type="gramStart"/>
      <w:r w:rsidRPr="00E701FE">
        <w:rPr>
          <w:rFonts w:eastAsia="Calibri"/>
        </w:rPr>
        <w:t>Taskforce ,</w:t>
      </w:r>
      <w:proofErr w:type="gramEnd"/>
      <w:r w:rsidRPr="00E701FE">
        <w:rPr>
          <w:rFonts w:eastAsia="Calibri"/>
        </w:rPr>
        <w:t xml:space="preserve"> many major </w:t>
      </w:r>
      <w:r w:rsidRPr="2CF3C489">
        <w:rPr>
          <w:rFonts w:eastAsia="Calibri"/>
        </w:rPr>
        <w:t>New Zealand i</w:t>
      </w:r>
      <w:r w:rsidRPr="00E701FE">
        <w:rPr>
          <w:rFonts w:eastAsia="Calibri"/>
        </w:rPr>
        <w:t xml:space="preserve">ndustry members including </w:t>
      </w:r>
      <w:proofErr w:type="spellStart"/>
      <w:r w:rsidRPr="00E701FE">
        <w:rPr>
          <w:rFonts w:eastAsia="Calibri"/>
        </w:rPr>
        <w:t>Sanitarium</w:t>
      </w:r>
      <w:proofErr w:type="spellEnd"/>
      <w:r w:rsidRPr="00E701FE">
        <w:rPr>
          <w:rFonts w:eastAsia="Calibri"/>
        </w:rPr>
        <w:t xml:space="preserve">, </w:t>
      </w:r>
      <w:r w:rsidR="00436A76" w:rsidRPr="00E701FE">
        <w:rPr>
          <w:rFonts w:eastAsia="Calibri"/>
        </w:rPr>
        <w:t>Coca-Cola</w:t>
      </w:r>
      <w:r w:rsidRPr="00E701FE">
        <w:rPr>
          <w:rFonts w:eastAsia="Calibri"/>
        </w:rPr>
        <w:t xml:space="preserve">, Fonterra, </w:t>
      </w:r>
      <w:proofErr w:type="spellStart"/>
      <w:r w:rsidRPr="00E701FE">
        <w:rPr>
          <w:rFonts w:eastAsia="Calibri"/>
        </w:rPr>
        <w:t>Frucor</w:t>
      </w:r>
      <w:proofErr w:type="spellEnd"/>
      <w:r w:rsidRPr="00E701FE">
        <w:rPr>
          <w:rFonts w:eastAsia="Calibri"/>
        </w:rPr>
        <w:t xml:space="preserve"> Suntory, Nestlé, McDonalds, Foodstuffs and Countdown </w:t>
      </w:r>
      <w:r>
        <w:rPr>
          <w:rFonts w:eastAsia="Calibri"/>
        </w:rPr>
        <w:t>were signatories</w:t>
      </w:r>
      <w:r w:rsidRPr="00E701FE">
        <w:rPr>
          <w:rFonts w:eastAsia="Calibri"/>
        </w:rPr>
        <w:t xml:space="preserve"> to </w:t>
      </w:r>
      <w:r>
        <w:rPr>
          <w:rFonts w:eastAsia="Calibri"/>
        </w:rPr>
        <w:t xml:space="preserve">the </w:t>
      </w:r>
      <w:r w:rsidRPr="00E701FE">
        <w:rPr>
          <w:rFonts w:eastAsia="Calibri"/>
        </w:rPr>
        <w:t>Healthy Kids Industry Pledge, which aimed to identify and contribute solutions that will reduce obesity among children in New Zealand</w:t>
      </w:r>
      <w:r>
        <w:rPr>
          <w:rFonts w:eastAsia="Calibri"/>
        </w:rPr>
        <w:t xml:space="preserve">. </w:t>
      </w:r>
      <w:r w:rsidRPr="2CF3C489">
        <w:rPr>
          <w:rFonts w:eastAsia="Calibri"/>
        </w:rPr>
        <w:t>The Healthy Kids Industry Pledge was overseen by the New Zealand Ministry of Health.</w:t>
      </w:r>
      <w:r>
        <w:rPr>
          <w:rFonts w:eastAsia="Calibri"/>
        </w:rPr>
        <w:t xml:space="preserve"> </w:t>
      </w:r>
    </w:p>
    <w:p w14:paraId="6368E1D8" w14:textId="3E98A203" w:rsidR="00081645" w:rsidRPr="00381294" w:rsidRDefault="00145D68" w:rsidP="00381294">
      <w:pPr>
        <w:spacing w:line="257" w:lineRule="auto"/>
        <w:rPr>
          <w:rFonts w:eastAsia="Calibri"/>
        </w:rPr>
      </w:pPr>
      <w:r>
        <w:rPr>
          <w:rFonts w:eastAsia="Calibri"/>
        </w:rPr>
        <w:t xml:space="preserve">Healthy Kids Industry Pledge signatories </w:t>
      </w:r>
      <w:r w:rsidRPr="00E701FE">
        <w:rPr>
          <w:rFonts w:eastAsia="Calibri"/>
        </w:rPr>
        <w:t>committed to considering reformulating their products, improving labelling</w:t>
      </w:r>
      <w:r w:rsidRPr="2CF3C489">
        <w:rPr>
          <w:rFonts w:eastAsia="Calibri"/>
        </w:rPr>
        <w:t>,</w:t>
      </w:r>
      <w:r w:rsidRPr="00E701FE">
        <w:rPr>
          <w:rFonts w:eastAsia="Calibri"/>
        </w:rPr>
        <w:t xml:space="preserve"> and supporting responsible marketing and advertising. They also ag</w:t>
      </w:r>
      <w:r w:rsidR="0069466F">
        <w:rPr>
          <w:rFonts w:eastAsia="Calibri"/>
        </w:rPr>
        <w:t>reed to publicly report on</w:t>
      </w:r>
      <w:r w:rsidRPr="00E701FE">
        <w:rPr>
          <w:rFonts w:eastAsia="Calibri"/>
        </w:rPr>
        <w:t xml:space="preserve"> progress. Under this pledge, some members reformulated products to reduce sugar. Th</w:t>
      </w:r>
      <w:r w:rsidRPr="2CF3C489">
        <w:rPr>
          <w:rFonts w:eastAsia="Calibri"/>
        </w:rPr>
        <w:t>e Healthy Kids Industry</w:t>
      </w:r>
      <w:r w:rsidRPr="00E701FE">
        <w:rPr>
          <w:rFonts w:eastAsia="Calibri"/>
        </w:rPr>
        <w:t xml:space="preserve"> </w:t>
      </w:r>
      <w:r w:rsidRPr="2CF3C489">
        <w:rPr>
          <w:rFonts w:eastAsia="Calibri"/>
        </w:rPr>
        <w:t>P</w:t>
      </w:r>
      <w:r w:rsidRPr="00E701FE">
        <w:rPr>
          <w:rFonts w:eastAsia="Calibri"/>
        </w:rPr>
        <w:t>ledge was discontinued following the formation of the Food Industry Taskforce.</w:t>
      </w:r>
    </w:p>
    <w:p w14:paraId="777F71C6" w14:textId="1257F9D9" w:rsidR="00AC3F1A" w:rsidRDefault="00AC3F1A" w:rsidP="006D42B6">
      <w:pPr>
        <w:rPr>
          <w:rStyle w:val="Heading6Char"/>
        </w:rPr>
      </w:pPr>
      <w:r>
        <w:rPr>
          <w:rStyle w:val="Heading5Char"/>
        </w:rPr>
        <w:t xml:space="preserve">New Zealand </w:t>
      </w:r>
      <w:r w:rsidR="006D42B6" w:rsidRPr="00A70DA5">
        <w:rPr>
          <w:rStyle w:val="Heading5Char"/>
        </w:rPr>
        <w:t>Heart Fo</w:t>
      </w:r>
      <w:r>
        <w:rPr>
          <w:rStyle w:val="Heading5Char"/>
        </w:rPr>
        <w:t>undation reformulation program</w:t>
      </w:r>
    </w:p>
    <w:p w14:paraId="729F6587" w14:textId="7A8A9D88" w:rsidR="00844C74" w:rsidRDefault="006D42B6" w:rsidP="00844C74">
      <w:r w:rsidRPr="00672DF0">
        <w:t>The</w:t>
      </w:r>
      <w:r>
        <w:t xml:space="preserve"> New Zealand Heart Foundation has </w:t>
      </w:r>
      <w:r w:rsidR="00844C74">
        <w:t>been working with food manufacturers since 2007 to improve the composition of the food supply. This reformulation program (funded by the Ministry of Health) targets high volume and lower cost products</w:t>
      </w:r>
      <w:r w:rsidR="005F551C">
        <w:t xml:space="preserve">, </w:t>
      </w:r>
      <w:r w:rsidR="008429E7">
        <w:t xml:space="preserve">and </w:t>
      </w:r>
      <w:r w:rsidR="005F551C">
        <w:t>the initial focus of this work was sodium reduction</w:t>
      </w:r>
      <w:r w:rsidR="00844C74">
        <w:t xml:space="preserve">. As </w:t>
      </w:r>
      <w:proofErr w:type="gramStart"/>
      <w:r w:rsidR="00844C74">
        <w:t>at</w:t>
      </w:r>
      <w:proofErr w:type="gramEnd"/>
      <w:r w:rsidR="00844C74">
        <w:t xml:space="preserve"> August 2020</w:t>
      </w:r>
      <w:r w:rsidR="0015591E">
        <w:t xml:space="preserve"> there are </w:t>
      </w:r>
      <w:r w:rsidR="00844C74">
        <w:t xml:space="preserve">reformulation targets for 38 food categories/sub-categories. This includes </w:t>
      </w:r>
      <w:r w:rsidR="005D7C6B">
        <w:t xml:space="preserve">thirty-five </w:t>
      </w:r>
      <w:r w:rsidR="00844C74">
        <w:t xml:space="preserve">sodium reduction targets, </w:t>
      </w:r>
      <w:r w:rsidR="005D7C6B">
        <w:t xml:space="preserve">ten </w:t>
      </w:r>
      <w:r w:rsidR="00844C74">
        <w:t>total sugar reduction</w:t>
      </w:r>
      <w:r w:rsidR="00281371">
        <w:t xml:space="preserve"> targets</w:t>
      </w:r>
      <w:r w:rsidR="00844C74">
        <w:t xml:space="preserve"> and </w:t>
      </w:r>
      <w:r w:rsidR="0015591E">
        <w:t>three</w:t>
      </w:r>
      <w:r w:rsidR="00844C74">
        <w:t xml:space="preserve"> saturated fat reduction targets</w:t>
      </w:r>
      <w:r w:rsidR="00432F98">
        <w:rPr>
          <w:rStyle w:val="FootnoteReference"/>
        </w:rPr>
        <w:footnoteReference w:id="70"/>
      </w:r>
      <w:r w:rsidR="00844C74">
        <w:t xml:space="preserve">. </w:t>
      </w:r>
      <w:r w:rsidR="004549E0">
        <w:t>These targets and implementation timeframes are</w:t>
      </w:r>
      <w:r w:rsidR="007948FA">
        <w:t xml:space="preserve"> outlined in Appendix 3</w:t>
      </w:r>
      <w:r w:rsidR="004549E0">
        <w:t xml:space="preserve">. </w:t>
      </w:r>
    </w:p>
    <w:p w14:paraId="04D6DB68" w14:textId="5355B858" w:rsidR="00844C74" w:rsidRDefault="00844C74" w:rsidP="00844C74">
      <w:r>
        <w:t xml:space="preserve">The targets are set in consultation with food industry with the goal being 80% of </w:t>
      </w:r>
      <w:r w:rsidR="001D79AC">
        <w:t xml:space="preserve">products by </w:t>
      </w:r>
      <w:r>
        <w:t xml:space="preserve">market share meet the targets within the timeframe. </w:t>
      </w:r>
      <w:r w:rsidR="0015591E">
        <w:t>Targets for prioritised food categories/sub-categories are set on a rolling basis and reviewed every three to five years</w:t>
      </w:r>
      <w:r w:rsidR="00281371">
        <w:t xml:space="preserve"> (informed by nutrient and sales datasets)</w:t>
      </w:r>
      <w:r w:rsidR="0015591E">
        <w:t>.</w:t>
      </w:r>
      <w:r w:rsidR="00281371">
        <w:t xml:space="preserve"> </w:t>
      </w:r>
      <w:r w:rsidR="0015591E">
        <w:t>Some targets have been lowered twice since they were originally set</w:t>
      </w:r>
      <w:r w:rsidR="00B61ECC">
        <w:t>,</w:t>
      </w:r>
      <w:r w:rsidR="0015591E">
        <w:t xml:space="preserve"> for example</w:t>
      </w:r>
      <w:r w:rsidR="00B61ECC">
        <w:t>,</w:t>
      </w:r>
      <w:r w:rsidR="00970BA8">
        <w:t xml:space="preserve"> the</w:t>
      </w:r>
      <w:r w:rsidR="0015591E">
        <w:t xml:space="preserve"> sodium target for breads. </w:t>
      </w:r>
      <w:r w:rsidR="00970BA8">
        <w:t>In addition to absolute targets there is often an option of a percentage reduction for products that are significantly higher than the target.</w:t>
      </w:r>
    </w:p>
    <w:p w14:paraId="0EB297EB" w14:textId="4FA74673" w:rsidR="00F47ACF" w:rsidRDefault="00F47ACF" w:rsidP="006D42B6">
      <w:r>
        <w:t>This work operates ‘behind the scenes’ and there is limited public reporting on this program.</w:t>
      </w:r>
      <w:r w:rsidR="00AC3930">
        <w:t xml:space="preserve"> </w:t>
      </w:r>
      <w:r w:rsidR="004549E0">
        <w:t xml:space="preserve">The Heart Foundation provided some data on progress towards these targets, </w:t>
      </w:r>
      <w:r w:rsidR="001D79AC">
        <w:t>which</w:t>
      </w:r>
      <w:r w:rsidR="004549E0">
        <w:t xml:space="preserve"> is</w:t>
      </w:r>
      <w:r w:rsidR="007948FA">
        <w:t xml:space="preserve"> summarised in Appendix 3</w:t>
      </w:r>
      <w:r w:rsidR="004549E0">
        <w:t xml:space="preserve">. </w:t>
      </w:r>
    </w:p>
    <w:p w14:paraId="4D3669A8" w14:textId="3CF9D32F" w:rsidR="000736E8" w:rsidRPr="00217BB3" w:rsidRDefault="000736E8" w:rsidP="006D42B6">
      <w:r w:rsidRPr="00FB723D">
        <w:rPr>
          <w:rStyle w:val="Hyperlink"/>
          <w:color w:val="auto"/>
          <w:u w:val="none"/>
        </w:rPr>
        <w:t xml:space="preserve">Historically the New Zealand Heart Foundation coordinated two groups with industry called the </w:t>
      </w:r>
      <w:r w:rsidR="0019383A" w:rsidRPr="00FB723D">
        <w:rPr>
          <w:rStyle w:val="Hyperlink"/>
          <w:color w:val="auto"/>
          <w:u w:val="none"/>
        </w:rPr>
        <w:t>C</w:t>
      </w:r>
      <w:r w:rsidRPr="00FB723D">
        <w:rPr>
          <w:rStyle w:val="Hyperlink"/>
          <w:color w:val="auto"/>
          <w:u w:val="none"/>
        </w:rPr>
        <w:t xml:space="preserve">hip and </w:t>
      </w:r>
      <w:r w:rsidR="0019383A" w:rsidRPr="00FB723D">
        <w:rPr>
          <w:rStyle w:val="Hyperlink"/>
          <w:color w:val="auto"/>
          <w:u w:val="none"/>
        </w:rPr>
        <w:t>P</w:t>
      </w:r>
      <w:r w:rsidRPr="00FB723D">
        <w:rPr>
          <w:rStyle w:val="Hyperlink"/>
          <w:color w:val="auto"/>
          <w:u w:val="none"/>
        </w:rPr>
        <w:t xml:space="preserve">ie </w:t>
      </w:r>
      <w:r w:rsidR="0019383A" w:rsidRPr="00FB723D">
        <w:rPr>
          <w:rStyle w:val="Hyperlink"/>
          <w:color w:val="auto"/>
          <w:u w:val="none"/>
        </w:rPr>
        <w:t>G</w:t>
      </w:r>
      <w:r w:rsidRPr="00FB723D">
        <w:rPr>
          <w:rStyle w:val="Hyperlink"/>
          <w:color w:val="auto"/>
          <w:u w:val="none"/>
        </w:rPr>
        <w:t>roup</w:t>
      </w:r>
      <w:r w:rsidR="0019383A" w:rsidRPr="00FB723D">
        <w:rPr>
          <w:rStyle w:val="Hyperlink"/>
          <w:color w:val="auto"/>
          <w:u w:val="none"/>
        </w:rPr>
        <w:t>s</w:t>
      </w:r>
      <w:r w:rsidRPr="00FB723D">
        <w:rPr>
          <w:rStyle w:val="Hyperlink"/>
          <w:color w:val="auto"/>
          <w:u w:val="none"/>
        </w:rPr>
        <w:t>. These groups encouraged specific practices to reduce the saturated fat, trans</w:t>
      </w:r>
      <w:r w:rsidR="00FB723D" w:rsidRPr="00FB723D">
        <w:rPr>
          <w:rStyle w:val="Hyperlink"/>
          <w:color w:val="auto"/>
          <w:u w:val="none"/>
        </w:rPr>
        <w:t xml:space="preserve"> </w:t>
      </w:r>
      <w:r w:rsidRPr="00FB723D">
        <w:rPr>
          <w:rStyle w:val="Hyperlink"/>
          <w:color w:val="auto"/>
          <w:u w:val="none"/>
        </w:rPr>
        <w:t>fat and sodium content of their products via various cooking and preparation methods as well as improving ingoing ingredients. Funding for these two groups has ceased and they are no longer active</w:t>
      </w:r>
      <w:r w:rsidRPr="00FB723D">
        <w:rPr>
          <w:rStyle w:val="FootnoteReference"/>
        </w:rPr>
        <w:footnoteReference w:id="71"/>
      </w:r>
      <w:r w:rsidRPr="00FB723D">
        <w:rPr>
          <w:rStyle w:val="Hyperlink"/>
          <w:color w:val="auto"/>
          <w:u w:val="none"/>
        </w:rPr>
        <w:t xml:space="preserve">. However, the website for the Chip Group is still accessible </w:t>
      </w:r>
      <w:r w:rsidRPr="00FB723D">
        <w:rPr>
          <w:rStyle w:val="Hyperlink"/>
          <w:color w:val="auto"/>
          <w:u w:val="none"/>
        </w:rPr>
        <w:lastRenderedPageBreak/>
        <w:t xml:space="preserve">which includes the industry standards for a range of factors </w:t>
      </w:r>
      <w:r w:rsidRPr="00FB723D">
        <w:rPr>
          <w:szCs w:val="20"/>
          <w:lang w:eastAsia="en-NZ"/>
        </w:rPr>
        <w:t xml:space="preserve">including serving size, oil type, basket drainage and salt addition. </w:t>
      </w:r>
    </w:p>
    <w:p w14:paraId="4082D553" w14:textId="66DFD780" w:rsidR="00AC3F1A" w:rsidRDefault="00AC3F1A" w:rsidP="00A70DA5">
      <w:pPr>
        <w:rPr>
          <w:rStyle w:val="Heading5Char"/>
        </w:rPr>
      </w:pPr>
      <w:r>
        <w:rPr>
          <w:rStyle w:val="Heading5Char"/>
        </w:rPr>
        <w:t>New Zealand food i</w:t>
      </w:r>
      <w:r w:rsidR="00792397" w:rsidRPr="00697979">
        <w:rPr>
          <w:rStyle w:val="Heading5Char"/>
        </w:rPr>
        <w:t>ndustry initiatives</w:t>
      </w:r>
    </w:p>
    <w:p w14:paraId="4C9E10AB" w14:textId="3CF4643D" w:rsidR="00792397" w:rsidRPr="00A70DA5" w:rsidRDefault="00381294" w:rsidP="00A70DA5">
      <w:r w:rsidRPr="00A70DA5">
        <w:t>M</w:t>
      </w:r>
      <w:r w:rsidR="00765DDD" w:rsidRPr="00A70DA5">
        <w:t xml:space="preserve">any </w:t>
      </w:r>
      <w:r w:rsidRPr="00A70DA5">
        <w:t xml:space="preserve">New Zealand food </w:t>
      </w:r>
      <w:r w:rsidR="00765DDD" w:rsidRPr="00A70DA5">
        <w:t>companies</w:t>
      </w:r>
      <w:r w:rsidR="00697979">
        <w:t xml:space="preserve"> also operate</w:t>
      </w:r>
      <w:r w:rsidR="00765DDD" w:rsidRPr="00A70DA5">
        <w:t xml:space="preserve"> their own </w:t>
      </w:r>
      <w:r w:rsidRPr="00A70DA5">
        <w:t xml:space="preserve">internal </w:t>
      </w:r>
      <w:r w:rsidR="00AC3F1A">
        <w:t xml:space="preserve">food </w:t>
      </w:r>
      <w:r w:rsidRPr="00A70DA5">
        <w:t>reformulation programs</w:t>
      </w:r>
      <w:r w:rsidR="00765DDD" w:rsidRPr="00A70DA5">
        <w:t>.</w:t>
      </w:r>
      <w:r w:rsidR="00373C0A" w:rsidRPr="00A70DA5">
        <w:t xml:space="preserve"> </w:t>
      </w:r>
      <w:r w:rsidR="7A3F2534" w:rsidRPr="00D57988">
        <w:t xml:space="preserve">For example, </w:t>
      </w:r>
      <w:r w:rsidRPr="00A70DA5">
        <w:t>Coca-Cola</w:t>
      </w:r>
      <w:r w:rsidR="7A3F2534" w:rsidRPr="00D57988">
        <w:t xml:space="preserve"> Oceania ha</w:t>
      </w:r>
      <w:r w:rsidR="00373C0A" w:rsidRPr="00A70DA5">
        <w:t>s</w:t>
      </w:r>
      <w:r w:rsidR="7A3F2534" w:rsidRPr="00D57988">
        <w:t xml:space="preserve"> committed to voluntarily reduce the sugar across </w:t>
      </w:r>
      <w:r w:rsidR="00027549" w:rsidRPr="00A70DA5">
        <w:t>its</w:t>
      </w:r>
      <w:r w:rsidR="7A3F2534" w:rsidRPr="00D57988">
        <w:t xml:space="preserve"> drinks portfolio by 20% by 2025 (sales-weighted). A significant component of this </w:t>
      </w:r>
      <w:r w:rsidR="29F68651" w:rsidRPr="00A70DA5">
        <w:t xml:space="preserve">includes </w:t>
      </w:r>
      <w:r w:rsidR="7A3F2534" w:rsidRPr="00D57988">
        <w:t xml:space="preserve">new products with no or reduced sugar </w:t>
      </w:r>
      <w:proofErr w:type="gramStart"/>
      <w:r w:rsidR="7A3F2534" w:rsidRPr="00D57988">
        <w:t>e.g</w:t>
      </w:r>
      <w:r w:rsidR="00623130">
        <w:t>.</w:t>
      </w:r>
      <w:proofErr w:type="gramEnd"/>
      <w:r w:rsidR="7A3F2534" w:rsidRPr="00D57988">
        <w:t xml:space="preserve"> </w:t>
      </w:r>
      <w:r w:rsidRPr="00A70DA5">
        <w:t>Coca-Cola</w:t>
      </w:r>
      <w:r w:rsidR="7A3F2534" w:rsidRPr="00D57988">
        <w:t xml:space="preserve"> Zero, </w:t>
      </w:r>
      <w:r w:rsidRPr="00A70DA5">
        <w:t>Coca-Cola</w:t>
      </w:r>
      <w:r w:rsidR="7A3F2534" w:rsidRPr="00D57988">
        <w:t xml:space="preserve"> Diet, </w:t>
      </w:r>
      <w:r w:rsidRPr="00A70DA5">
        <w:t>Coca-Cola</w:t>
      </w:r>
      <w:r w:rsidR="7A3F2534" w:rsidRPr="00D57988">
        <w:t xml:space="preserve"> no sugar, </w:t>
      </w:r>
      <w:r w:rsidRPr="00A70DA5">
        <w:t>Coca-Cola</w:t>
      </w:r>
      <w:r w:rsidR="7A3F2534" w:rsidRPr="00D57988">
        <w:t xml:space="preserve"> stevia no sugar. </w:t>
      </w:r>
      <w:r w:rsidR="00027549" w:rsidRPr="00A70DA5">
        <w:t>The company is</w:t>
      </w:r>
      <w:r w:rsidR="7A3F2534" w:rsidRPr="00D57988">
        <w:t xml:space="preserve"> also reducing the sugar in some </w:t>
      </w:r>
      <w:r w:rsidR="65FA8411" w:rsidRPr="00A70DA5">
        <w:t xml:space="preserve">existing </w:t>
      </w:r>
      <w:r w:rsidR="7A3F2534" w:rsidRPr="00D57988">
        <w:t xml:space="preserve">products. </w:t>
      </w:r>
      <w:r w:rsidR="7EAE68FF" w:rsidRPr="00A70DA5">
        <w:t xml:space="preserve">Another key sugary drink producer, </w:t>
      </w:r>
      <w:proofErr w:type="spellStart"/>
      <w:r w:rsidR="7EAE68FF" w:rsidRPr="00A70DA5">
        <w:t>Frucor</w:t>
      </w:r>
      <w:proofErr w:type="spellEnd"/>
      <w:r w:rsidR="7EAE68FF" w:rsidRPr="00A70DA5">
        <w:t xml:space="preserve"> Suntory, is reformulating products and introducing </w:t>
      </w:r>
      <w:proofErr w:type="gramStart"/>
      <w:r w:rsidR="7EAE68FF" w:rsidRPr="00A70DA5">
        <w:t>more low</w:t>
      </w:r>
      <w:proofErr w:type="gramEnd"/>
      <w:r w:rsidR="7EAE68FF" w:rsidRPr="00A70DA5">
        <w:t xml:space="preserve"> or no sugar options. </w:t>
      </w:r>
    </w:p>
    <w:p w14:paraId="79E8CEFC" w14:textId="7F5B9DB9" w:rsidR="00792397" w:rsidRPr="00373C0A" w:rsidRDefault="00381294" w:rsidP="05977ECD">
      <w:pPr>
        <w:rPr>
          <w:rFonts w:eastAsia="Calibri"/>
        </w:rPr>
      </w:pPr>
      <w:r>
        <w:rPr>
          <w:rFonts w:eastAsia="Calibri"/>
        </w:rPr>
        <w:t xml:space="preserve">In addition, the </w:t>
      </w:r>
      <w:r w:rsidR="7A3F2534" w:rsidRPr="00D57988">
        <w:rPr>
          <w:rFonts w:eastAsia="Calibri"/>
        </w:rPr>
        <w:t xml:space="preserve">New Zealand Food and Grocery Council </w:t>
      </w:r>
      <w:r w:rsidR="7A3F2534" w:rsidRPr="00D57988">
        <w:rPr>
          <w:rFonts w:eastAsia="Calibri"/>
          <w:i/>
        </w:rPr>
        <w:t>Healthier New Zealanders Initiative</w:t>
      </w:r>
      <w:r w:rsidR="7A3F2534" w:rsidRPr="00D57988">
        <w:rPr>
          <w:rFonts w:eastAsia="Calibri"/>
        </w:rPr>
        <w:t xml:space="preserve"> aims to promote and support the work by members to deliver health </w:t>
      </w:r>
      <w:r w:rsidR="71AE4A41" w:rsidRPr="57A61FFE">
        <w:rPr>
          <w:rFonts w:eastAsia="Calibri"/>
        </w:rPr>
        <w:t>and</w:t>
      </w:r>
      <w:r w:rsidR="7A3F2534" w:rsidRPr="00D57988">
        <w:rPr>
          <w:rFonts w:eastAsia="Calibri"/>
        </w:rPr>
        <w:t xml:space="preserve"> wellness across the New Zealand population. Many of the programs under this initiative are part of broader work </w:t>
      </w:r>
      <w:r w:rsidR="79B510FE" w:rsidRPr="57A61FFE">
        <w:rPr>
          <w:rFonts w:eastAsia="Calibri"/>
        </w:rPr>
        <w:t xml:space="preserve">in </w:t>
      </w:r>
      <w:r w:rsidR="0BB36D32" w:rsidRPr="57A61FFE">
        <w:rPr>
          <w:rFonts w:eastAsia="Calibri"/>
        </w:rPr>
        <w:t>non-communicable disease</w:t>
      </w:r>
      <w:r w:rsidR="7A3F2534" w:rsidRPr="00D57988">
        <w:rPr>
          <w:rFonts w:eastAsia="Calibri"/>
        </w:rPr>
        <w:t xml:space="preserve"> prevention</w:t>
      </w:r>
      <w:r w:rsidR="00027549">
        <w:rPr>
          <w:rStyle w:val="FootnoteReference"/>
          <w:rFonts w:eastAsia="Calibri"/>
        </w:rPr>
        <w:footnoteReference w:id="72"/>
      </w:r>
      <w:r w:rsidR="106D8A20" w:rsidRPr="57A61FFE">
        <w:rPr>
          <w:rFonts w:eastAsia="Calibri"/>
        </w:rPr>
        <w:t xml:space="preserve">and </w:t>
      </w:r>
      <w:r w:rsidR="7A3F2534" w:rsidRPr="00D57988">
        <w:rPr>
          <w:rFonts w:eastAsia="Calibri"/>
        </w:rPr>
        <w:t>inclu</w:t>
      </w:r>
      <w:r w:rsidR="6CD1E110" w:rsidRPr="57A61FFE">
        <w:rPr>
          <w:rFonts w:eastAsia="Calibri"/>
        </w:rPr>
        <w:t>de</w:t>
      </w:r>
      <w:r w:rsidR="7A3F2534" w:rsidRPr="00D57988">
        <w:rPr>
          <w:rFonts w:eastAsia="Calibri"/>
        </w:rPr>
        <w:t xml:space="preserve"> the establishment of company nutrition policies and product formulation. </w:t>
      </w:r>
      <w:r w:rsidR="735907B4" w:rsidRPr="57A61FFE">
        <w:rPr>
          <w:rFonts w:eastAsia="Calibri"/>
        </w:rPr>
        <w:t>For example</w:t>
      </w:r>
      <w:r w:rsidR="00311DBC">
        <w:rPr>
          <w:rFonts w:eastAsia="Calibri"/>
        </w:rPr>
        <w:t>,</w:t>
      </w:r>
      <w:r w:rsidR="7A3F2534" w:rsidRPr="00D57988">
        <w:rPr>
          <w:rFonts w:eastAsia="Calibri"/>
        </w:rPr>
        <w:t xml:space="preserve"> companies such as Nestl</w:t>
      </w:r>
      <w:r w:rsidR="00E65133">
        <w:rPr>
          <w:rFonts w:eastAsia="Calibri"/>
        </w:rPr>
        <w:t>é</w:t>
      </w:r>
      <w:r w:rsidR="7A3F2534" w:rsidRPr="00D57988">
        <w:rPr>
          <w:rFonts w:eastAsia="Calibri"/>
        </w:rPr>
        <w:t xml:space="preserve"> and Heinz </w:t>
      </w:r>
      <w:proofErr w:type="spellStart"/>
      <w:r w:rsidR="7A3F2534" w:rsidRPr="00D57988">
        <w:rPr>
          <w:rFonts w:eastAsia="Calibri"/>
        </w:rPr>
        <w:t>Watties</w:t>
      </w:r>
      <w:proofErr w:type="spellEnd"/>
      <w:r w:rsidR="7A3F2534" w:rsidRPr="00D57988">
        <w:rPr>
          <w:rFonts w:eastAsia="Calibri"/>
        </w:rPr>
        <w:t xml:space="preserve"> </w:t>
      </w:r>
      <w:r w:rsidR="236723E7" w:rsidRPr="57A61FFE">
        <w:rPr>
          <w:rFonts w:eastAsia="Calibri"/>
        </w:rPr>
        <w:t xml:space="preserve">have </w:t>
      </w:r>
      <w:r w:rsidR="7A3F2534" w:rsidRPr="00D57988">
        <w:rPr>
          <w:rFonts w:eastAsia="Calibri"/>
        </w:rPr>
        <w:t>develop</w:t>
      </w:r>
      <w:r w:rsidR="59255E86" w:rsidRPr="57A61FFE">
        <w:rPr>
          <w:rFonts w:eastAsia="Calibri"/>
        </w:rPr>
        <w:t>ed</w:t>
      </w:r>
      <w:r w:rsidR="7A3F2534" w:rsidRPr="00D57988">
        <w:rPr>
          <w:rFonts w:eastAsia="Calibri"/>
        </w:rPr>
        <w:t xml:space="preserve"> company nutrition policies regarding nutrients of concern</w:t>
      </w:r>
      <w:r w:rsidR="612A7334" w:rsidRPr="57A61FFE">
        <w:rPr>
          <w:rFonts w:eastAsia="Calibri"/>
        </w:rPr>
        <w:t>. Hein</w:t>
      </w:r>
      <w:r w:rsidR="2AA95DB5" w:rsidRPr="57A61FFE">
        <w:rPr>
          <w:rFonts w:eastAsia="Calibri"/>
        </w:rPr>
        <w:t xml:space="preserve">z </w:t>
      </w:r>
      <w:proofErr w:type="spellStart"/>
      <w:r w:rsidR="2AA95DB5" w:rsidRPr="57A61FFE">
        <w:rPr>
          <w:rFonts w:eastAsia="Calibri"/>
        </w:rPr>
        <w:t>Watties</w:t>
      </w:r>
      <w:proofErr w:type="spellEnd"/>
      <w:r w:rsidR="2AA95DB5" w:rsidRPr="57A61FFE">
        <w:rPr>
          <w:rFonts w:eastAsia="Calibri"/>
        </w:rPr>
        <w:t xml:space="preserve"> policy</w:t>
      </w:r>
      <w:r w:rsidR="7A3F2534" w:rsidRPr="00D57988">
        <w:rPr>
          <w:rFonts w:eastAsia="Calibri"/>
        </w:rPr>
        <w:t xml:space="preserve"> includes offering low-sugar products</w:t>
      </w:r>
      <w:r w:rsidR="00027549">
        <w:rPr>
          <w:rStyle w:val="FootnoteReference"/>
          <w:rFonts w:eastAsia="Calibri"/>
        </w:rPr>
        <w:footnoteReference w:id="73"/>
      </w:r>
      <w:r>
        <w:rPr>
          <w:rFonts w:eastAsia="Calibri"/>
        </w:rPr>
        <w:t xml:space="preserve">. </w:t>
      </w:r>
      <w:r w:rsidR="14189675" w:rsidRPr="57A61FFE">
        <w:rPr>
          <w:rFonts w:eastAsia="Calibri"/>
        </w:rPr>
        <w:t>Nestl</w:t>
      </w:r>
      <w:r w:rsidR="00E65133">
        <w:rPr>
          <w:rFonts w:eastAsia="Calibri"/>
        </w:rPr>
        <w:t>é</w:t>
      </w:r>
      <w:r w:rsidR="14189675" w:rsidRPr="57A61FFE">
        <w:rPr>
          <w:rFonts w:eastAsia="Calibri"/>
        </w:rPr>
        <w:t xml:space="preserve"> is a</w:t>
      </w:r>
      <w:r w:rsidR="7A3F2534" w:rsidRPr="00D57988">
        <w:rPr>
          <w:rFonts w:eastAsia="Calibri"/>
        </w:rPr>
        <w:t xml:space="preserve">iming to improve the nutritional profile of </w:t>
      </w:r>
      <w:r w:rsidR="295EF83E" w:rsidRPr="57A61FFE">
        <w:rPr>
          <w:rFonts w:eastAsia="Calibri"/>
        </w:rPr>
        <w:t xml:space="preserve">its </w:t>
      </w:r>
      <w:r w:rsidR="7A3F2534" w:rsidRPr="00D57988">
        <w:rPr>
          <w:rFonts w:eastAsia="Calibri"/>
        </w:rPr>
        <w:t>products and monito</w:t>
      </w:r>
      <w:r>
        <w:rPr>
          <w:rFonts w:eastAsia="Calibri"/>
        </w:rPr>
        <w:t>r</w:t>
      </w:r>
      <w:r w:rsidR="7A3F2534" w:rsidRPr="00D57988">
        <w:rPr>
          <w:rFonts w:eastAsia="Calibri"/>
        </w:rPr>
        <w:t xml:space="preserve"> the composition of the</w:t>
      </w:r>
      <w:r w:rsidR="4777AB35" w:rsidRPr="57A61FFE">
        <w:rPr>
          <w:rFonts w:eastAsia="Calibri"/>
        </w:rPr>
        <w:t>ir</w:t>
      </w:r>
      <w:r w:rsidR="7A3F2534" w:rsidRPr="00D57988">
        <w:rPr>
          <w:rFonts w:eastAsia="Calibri"/>
        </w:rPr>
        <w:t xml:space="preserve"> product range</w:t>
      </w:r>
      <w:r w:rsidR="71479A3E" w:rsidRPr="57A61FFE">
        <w:rPr>
          <w:rFonts w:eastAsia="Calibri"/>
        </w:rPr>
        <w:t>.</w:t>
      </w:r>
      <w:r w:rsidR="00027549">
        <w:rPr>
          <w:rStyle w:val="FootnoteReference"/>
          <w:rFonts w:eastAsia="Calibri"/>
        </w:rPr>
        <w:footnoteReference w:id="74"/>
      </w:r>
    </w:p>
    <w:p w14:paraId="75A1B2DA" w14:textId="6F84CD69" w:rsidR="00792397" w:rsidRPr="00D57988" w:rsidRDefault="00AA66B3" w:rsidP="00381294">
      <w:pPr>
        <w:rPr>
          <w:rFonts w:eastAsia="Calibri"/>
        </w:rPr>
      </w:pPr>
      <w:r>
        <w:rPr>
          <w:rFonts w:eastAsia="Calibri"/>
        </w:rPr>
        <w:t>A</w:t>
      </w:r>
      <w:r w:rsidR="00145D68">
        <w:t xml:space="preserve"> proposed sugar reduction pledge of 20% by 2025 by the New Zealand Beverage Council</w:t>
      </w:r>
      <w:r w:rsidR="004D2385">
        <w:t>, which was foreshadowed in the Taskforce’s report,</w:t>
      </w:r>
      <w:r w:rsidR="00862415">
        <w:t xml:space="preserve"> </w:t>
      </w:r>
      <w:r w:rsidR="002B70C8">
        <w:t xml:space="preserve">is </w:t>
      </w:r>
      <w:r w:rsidR="004B0842">
        <w:t>currently on hold.</w:t>
      </w:r>
    </w:p>
    <w:p w14:paraId="1BBD967A" w14:textId="68ED5684" w:rsidR="00977BB7" w:rsidRDefault="00577F9C" w:rsidP="003B5E2D">
      <w:r>
        <w:t xml:space="preserve">In 2017 Auckland University researchers assessed public policies and commitments related to improving food environments of </w:t>
      </w:r>
      <w:r w:rsidR="005D7C6B">
        <w:t xml:space="preserve">twenty-five </w:t>
      </w:r>
      <w:r>
        <w:t>prominent New Zealand food companies across the manufacturing, quick-serv</w:t>
      </w:r>
      <w:r w:rsidR="00C47F7E">
        <w:t xml:space="preserve">ice </w:t>
      </w:r>
      <w:r>
        <w:t>and supermarket sectors</w:t>
      </w:r>
      <w:r w:rsidR="007245C0">
        <w:rPr>
          <w:rStyle w:val="FootnoteReference"/>
        </w:rPr>
        <w:footnoteReference w:id="75"/>
      </w:r>
      <w:r>
        <w:t>. One of the six domains assessed was product formulation. Five companies did not have any commitment related to product formulation (</w:t>
      </w:r>
      <w:r w:rsidR="005D7C6B">
        <w:t xml:space="preserve">two </w:t>
      </w:r>
      <w:r>
        <w:t xml:space="preserve">food manufacturers and </w:t>
      </w:r>
      <w:r w:rsidR="005D7C6B">
        <w:t xml:space="preserve">three </w:t>
      </w:r>
      <w:r>
        <w:t xml:space="preserve">quick serve restaurants). Out of the </w:t>
      </w:r>
      <w:r w:rsidR="005D7C6B">
        <w:t xml:space="preserve">seventeen </w:t>
      </w:r>
      <w:r>
        <w:t xml:space="preserve">manufacturers, </w:t>
      </w:r>
      <w:r w:rsidR="005D7C6B">
        <w:t xml:space="preserve">thirteen </w:t>
      </w:r>
      <w:r>
        <w:t>had a target to reduce added sugar content</w:t>
      </w:r>
      <w:r w:rsidR="00C036C4">
        <w:t>,</w:t>
      </w:r>
      <w:r>
        <w:t xml:space="preserve"> and </w:t>
      </w:r>
      <w:r w:rsidR="00C036C4">
        <w:t>nine</w:t>
      </w:r>
      <w:r>
        <w:t xml:space="preserve"> </w:t>
      </w:r>
      <w:r w:rsidR="00C036C4">
        <w:t>aimed</w:t>
      </w:r>
      <w:r>
        <w:t xml:space="preserve"> to reduce portion sizes. Nestl</w:t>
      </w:r>
      <w:r>
        <w:rPr>
          <w:rFonts w:cstheme="minorHAnsi"/>
        </w:rPr>
        <w:t xml:space="preserve">é </w:t>
      </w:r>
      <w:r>
        <w:t>was deemed the best performing company as they had a SMART target</w:t>
      </w:r>
      <w:r w:rsidR="004B0842">
        <w:t xml:space="preserve"> for each nutrient of concern. </w:t>
      </w:r>
      <w:r w:rsidR="00977BB7">
        <w:t>International approaches to improving the composition of the food supply</w:t>
      </w:r>
    </w:p>
    <w:p w14:paraId="7ED8251B" w14:textId="31AEF1F5" w:rsidR="0081049D" w:rsidRDefault="00977BB7" w:rsidP="003B5E2D">
      <w:pPr>
        <w:pStyle w:val="Heading4"/>
      </w:pPr>
      <w:r>
        <w:t>V</w:t>
      </w:r>
      <w:r w:rsidR="0081049D">
        <w:t xml:space="preserve">oluntary reformulation </w:t>
      </w:r>
      <w:r w:rsidR="003B5E2D">
        <w:t>initiatives internationally</w:t>
      </w:r>
    </w:p>
    <w:p w14:paraId="1CFA6316" w14:textId="06AB8444" w:rsidR="006A3E21" w:rsidRDefault="007673D1" w:rsidP="0081049D">
      <w:r>
        <w:t xml:space="preserve">Actions to encourage voluntary industry reformulation are also undertaken internationally. </w:t>
      </w:r>
      <w:r w:rsidR="006A3E21">
        <w:t>These actions predominantly focus on sodium/salt reformulation</w:t>
      </w:r>
      <w:r w:rsidR="006A3E21">
        <w:rPr>
          <w:rStyle w:val="FootnoteReference"/>
        </w:rPr>
        <w:footnoteReference w:id="76"/>
      </w:r>
      <w:r w:rsidR="006A3E21">
        <w:t xml:space="preserve">. </w:t>
      </w:r>
      <w:r w:rsidR="0071551E">
        <w:t xml:space="preserve">Selected examples of voluntary reformulation actions are outlined below. </w:t>
      </w:r>
    </w:p>
    <w:p w14:paraId="1721932B" w14:textId="4C05AC1F" w:rsidR="00BD4B75" w:rsidRDefault="00BD4B75" w:rsidP="003B5E2D">
      <w:pPr>
        <w:pStyle w:val="Heading5"/>
      </w:pPr>
      <w:r>
        <w:lastRenderedPageBreak/>
        <w:t>Saturated fat</w:t>
      </w:r>
    </w:p>
    <w:p w14:paraId="6F40BA9F" w14:textId="22C672A0" w:rsidR="000062CE" w:rsidRDefault="0071551E" w:rsidP="000062CE">
      <w:r>
        <w:t xml:space="preserve">While not a frequent target for voluntary reformulation, </w:t>
      </w:r>
      <w:r w:rsidR="000062CE">
        <w:t xml:space="preserve">saturated fat has been included in voluntary reformulation activities in some countries. </w:t>
      </w:r>
    </w:p>
    <w:p w14:paraId="7C9CEE8E" w14:textId="23BD34E3" w:rsidR="000062CE" w:rsidRDefault="000062CE" w:rsidP="000062CE">
      <w:r>
        <w:t xml:space="preserve">For example, </w:t>
      </w:r>
      <w:r w:rsidR="0071551E">
        <w:t xml:space="preserve">since </w:t>
      </w:r>
      <w:r>
        <w:t>2007, as part of the second phase of France’s National Nutrition and Health Program, members of the food industry (</w:t>
      </w:r>
      <w:proofErr w:type="gramStart"/>
      <w:r w:rsidR="0071551E">
        <w:t>e.g.</w:t>
      </w:r>
      <w:proofErr w:type="gramEnd"/>
      <w:r>
        <w:t xml:space="preserve"> producers, food industry companies, distributors and caterers) can voluntarily pledge to improve the nutritional profile of their foods. Industry commitments must meet certain criteria and cover the composition of the food product (</w:t>
      </w:r>
      <w:proofErr w:type="gramStart"/>
      <w:r w:rsidR="00883768">
        <w:t>e.g.</w:t>
      </w:r>
      <w:proofErr w:type="gramEnd"/>
      <w:r>
        <w:t xml:space="preserve"> reduced amounts of fat, </w:t>
      </w:r>
      <w:r w:rsidR="00883768">
        <w:t xml:space="preserve">saturated fat, </w:t>
      </w:r>
      <w:r>
        <w:t>sugar, salt; increased amounts of fibre) and/or a consumption intervention (</w:t>
      </w:r>
      <w:r w:rsidR="00883768">
        <w:t>e.g.</w:t>
      </w:r>
      <w:r>
        <w:t xml:space="preserve"> action on portion sizes or marketing). A committee of public health experts review the proposed industry commitments to ensure they are significant. Achievements are monitored by the Government established French Food Quality Observatory. </w:t>
      </w:r>
    </w:p>
    <w:p w14:paraId="2B78BFBD" w14:textId="7B08ED15" w:rsidR="000062CE" w:rsidRDefault="000062CE" w:rsidP="000062CE">
      <w:r>
        <w:t>In November 2010, the French Food Quality Observatory published estimates of the potential impacts of France’s reformulation based on the first 15 signed reformulation commitments. It is estimated the impact could be 11,700 to 13,000 less ton</w:t>
      </w:r>
      <w:r w:rsidR="00D967F1">
        <w:t>ne</w:t>
      </w:r>
      <w:r>
        <w:t>s of sugars, 3,500 to 4,200 less tons of fat ton</w:t>
      </w:r>
      <w:r w:rsidR="00217BB3">
        <w:t>ne</w:t>
      </w:r>
      <w:r>
        <w:t>s; 2,150 less ton</w:t>
      </w:r>
      <w:r w:rsidR="00217BB3">
        <w:t>ne</w:t>
      </w:r>
      <w:r>
        <w:t>s of saturated fat; 223 to 240 less ton</w:t>
      </w:r>
      <w:r w:rsidR="00217BB3">
        <w:t>nes</w:t>
      </w:r>
      <w:r>
        <w:t xml:space="preserve"> of sodium; and </w:t>
      </w:r>
      <w:r w:rsidR="005D7C6B">
        <w:t xml:space="preserve">twelve </w:t>
      </w:r>
      <w:r>
        <w:t>more ton</w:t>
      </w:r>
      <w:r w:rsidR="00217BB3">
        <w:t>ne</w:t>
      </w:r>
      <w:r>
        <w:t>s of fibre in France’s food supply</w:t>
      </w:r>
      <w:r>
        <w:rPr>
          <w:rStyle w:val="FootnoteReference"/>
        </w:rPr>
        <w:footnoteReference w:id="77"/>
      </w:r>
      <w:r>
        <w:t>.</w:t>
      </w:r>
    </w:p>
    <w:p w14:paraId="53641F3E" w14:textId="77777777" w:rsidR="008911BE" w:rsidRDefault="000062CE" w:rsidP="000062CE">
      <w:r>
        <w:t xml:space="preserve">The Netherlands also includes saturated fat reformulation in its voluntary food reformulation program, together with salt, and total energy content of food which commenced in 2014. </w:t>
      </w:r>
    </w:p>
    <w:p w14:paraId="68D6E26F" w14:textId="053E558C" w:rsidR="000062CE" w:rsidRDefault="000062CE" w:rsidP="000062CE">
      <w:r>
        <w:t xml:space="preserve">Saturated fat reformulation is also included in the United Kingdom’s ‘Public Health Responsibility Deal’ where food industry can make voluntary commitments to reformulate products to reduce salt, </w:t>
      </w:r>
      <w:r w:rsidR="00883768">
        <w:t>saturated</w:t>
      </w:r>
      <w:r>
        <w:t xml:space="preserve"> fats, trans fats and energy in foods. </w:t>
      </w:r>
      <w:r w:rsidR="00883768">
        <w:t>However</w:t>
      </w:r>
      <w:r w:rsidR="001C4DD8">
        <w:t>,</w:t>
      </w:r>
      <w:r w:rsidR="00883768">
        <w:t xml:space="preserve"> a 2015</w:t>
      </w:r>
      <w:r w:rsidR="00883768">
        <w:rPr>
          <w:rStyle w:val="FootnoteReference"/>
        </w:rPr>
        <w:footnoteReference w:id="78"/>
      </w:r>
      <w:r w:rsidR="00883768">
        <w:t xml:space="preserve"> evaluation of the Responsibility Deal identified that commitments to saturated fat reformulation were only made by </w:t>
      </w:r>
      <w:r w:rsidR="005D7C6B">
        <w:t xml:space="preserve">seven </w:t>
      </w:r>
      <w:r w:rsidR="00883768">
        <w:t>organisations, compared to</w:t>
      </w:r>
      <w:r w:rsidR="005D7C6B">
        <w:t xml:space="preserve"> thirty-seven</w:t>
      </w:r>
      <w:r w:rsidR="00883768">
        <w:t xml:space="preserve"> organisations </w:t>
      </w:r>
      <w:r w:rsidR="008911BE">
        <w:t xml:space="preserve">that </w:t>
      </w:r>
      <w:r w:rsidR="00883768">
        <w:t xml:space="preserve">committed to salt reformulation. </w:t>
      </w:r>
      <w:r w:rsidR="001403DE">
        <w:t>Reporting of progress against reformulation targets was poor, and the authors were unable to determine whether the Responsibility Deal achieved results in this area. This highlighted the need for transparency and accountability in voluntary reformulation actions</w:t>
      </w:r>
      <w:r w:rsidR="00704354">
        <w:t xml:space="preserve"> and the authors of this evaluation recommended penalties for companies that do not report on progress against targets</w:t>
      </w:r>
      <w:r w:rsidR="001403DE">
        <w:t xml:space="preserve">. </w:t>
      </w:r>
    </w:p>
    <w:p w14:paraId="5E7D4787" w14:textId="621C184D" w:rsidR="008911BE" w:rsidRDefault="008911BE" w:rsidP="003B5E2D">
      <w:pPr>
        <w:pStyle w:val="Heading5"/>
      </w:pPr>
      <w:r>
        <w:t>Trans fat</w:t>
      </w:r>
    </w:p>
    <w:p w14:paraId="158899CD" w14:textId="358D3D73" w:rsidR="001613D0" w:rsidRDefault="00026158" w:rsidP="008911BE">
      <w:r>
        <w:t>Voluntary reformulation to reduce trans fats in the food supply is in place in some countries. A</w:t>
      </w:r>
      <w:r w:rsidR="006B3369">
        <w:t xml:space="preserve"> systematic review</w:t>
      </w:r>
      <w:r w:rsidR="001F3E28">
        <w:rPr>
          <w:rStyle w:val="FootnoteReference"/>
        </w:rPr>
        <w:footnoteReference w:id="79"/>
      </w:r>
      <w:r w:rsidR="006B3369">
        <w:t xml:space="preserve"> of policies to reduce dietary </w:t>
      </w:r>
      <w:proofErr w:type="spellStart"/>
      <w:r w:rsidR="006B3369">
        <w:t>trans fat</w:t>
      </w:r>
      <w:proofErr w:type="spellEnd"/>
      <w:r w:rsidR="006B3369">
        <w:t xml:space="preserve"> reported that multicomponent interventions including legislation were most effective. This review noted that some countries have introduced legislative actions to reduce or eliminate trans fats in the food supply, while other countries had taken voluntary approaches, which were less effective. </w:t>
      </w:r>
    </w:p>
    <w:p w14:paraId="7EF664A7" w14:textId="67F61A90" w:rsidR="00D57988" w:rsidRDefault="004F7F79" w:rsidP="003B5E2D">
      <w:pPr>
        <w:pStyle w:val="Heading5"/>
      </w:pPr>
      <w:r>
        <w:lastRenderedPageBreak/>
        <w:t>Sodium/</w:t>
      </w:r>
      <w:r w:rsidR="00D57988">
        <w:t>Salt</w:t>
      </w:r>
    </w:p>
    <w:p w14:paraId="75F5282D" w14:textId="3924BBA6" w:rsidR="002D5C46" w:rsidRDefault="002E0462" w:rsidP="77F8227F">
      <w:r>
        <w:t xml:space="preserve">An example of a country with a long-running voluntary salt reformulation program is the </w:t>
      </w:r>
      <w:r w:rsidR="00977BB7">
        <w:t>United Kingdom</w:t>
      </w:r>
      <w:r w:rsidR="00AA1F0F">
        <w:t xml:space="preserve">. </w:t>
      </w:r>
      <w:r>
        <w:t>Between 20</w:t>
      </w:r>
      <w:r w:rsidR="00FC21A0">
        <w:t>0</w:t>
      </w:r>
      <w:r>
        <w:t>3 and 2010 the United Kingdom Food Standards Agency undertook a multi-faceted strategy</w:t>
      </w:r>
      <w:r w:rsidR="2D714829">
        <w:t xml:space="preserve"> </w:t>
      </w:r>
      <w:r>
        <w:t>to reduc</w:t>
      </w:r>
      <w:r w:rsidR="00FC21A0">
        <w:t>e</w:t>
      </w:r>
      <w:r w:rsidR="00373C0A">
        <w:t xml:space="preserve"> </w:t>
      </w:r>
      <w:r>
        <w:t>salt consumption in the population, including through public awareness campaigns, food labelling and agreements with industry to reformulate foods to reduce salt content</w:t>
      </w:r>
      <w:r w:rsidRPr="00FC21A0">
        <w:t xml:space="preserve">. </w:t>
      </w:r>
      <w:r w:rsidR="00FC21A0">
        <w:t>V</w:t>
      </w:r>
      <w:r w:rsidRPr="004F7F79">
        <w:t xml:space="preserve">oluntary reformulation targets </w:t>
      </w:r>
      <w:r w:rsidR="002D5C46">
        <w:t xml:space="preserve">for specific food categories </w:t>
      </w:r>
      <w:r w:rsidRPr="004F7F79">
        <w:t xml:space="preserve">were set independently by the Food Standards Agency </w:t>
      </w:r>
      <w:r w:rsidR="002D5C46">
        <w:t xml:space="preserve">and released in 2006, </w:t>
      </w:r>
      <w:r w:rsidR="00027549">
        <w:t xml:space="preserve">with </w:t>
      </w:r>
      <w:r w:rsidRPr="004F7F79">
        <w:t>Ministerial-level threats th</w:t>
      </w:r>
      <w:r w:rsidR="00027549" w:rsidRPr="00226CF7">
        <w:t>at</w:t>
      </w:r>
      <w:r w:rsidRPr="004F7F79">
        <w:t xml:space="preserve"> targets would be mandated if sufficient compliance was not achieved</w:t>
      </w:r>
      <w:r w:rsidR="00B24541">
        <w:t xml:space="preserve"> by 2010</w:t>
      </w:r>
      <w:r w:rsidR="002D5C46">
        <w:t xml:space="preserve"> </w:t>
      </w:r>
      <w:r w:rsidR="23CAE275">
        <w:t xml:space="preserve">(this </w:t>
      </w:r>
      <w:r w:rsidR="002D5C46">
        <w:t>was subsequently revised to 2012)</w:t>
      </w:r>
      <w:r w:rsidRPr="004F7F79">
        <w:t xml:space="preserve">. From 2011 this </w:t>
      </w:r>
      <w:r w:rsidR="006A3E21">
        <w:t xml:space="preserve">activity </w:t>
      </w:r>
      <w:r w:rsidR="002D5C46">
        <w:rPr>
          <w:rStyle w:val="FootnoteReference"/>
        </w:rPr>
        <w:footnoteReference w:id="80"/>
      </w:r>
      <w:r w:rsidR="002D5C46">
        <w:t xml:space="preserve"> </w:t>
      </w:r>
      <w:r w:rsidRPr="004F7F79">
        <w:t>was replaced with the ‘Public Health Responsibility Deal’ where food manufacturers</w:t>
      </w:r>
      <w:r>
        <w:t xml:space="preserve"> and caterers could become signatories to voluntary pledges </w:t>
      </w:r>
      <w:r w:rsidR="002D5C46">
        <w:t>for actions such as using less salt, providing salt information on menus and reformulating to reduce salt content</w:t>
      </w:r>
      <w:r w:rsidRPr="77F8227F">
        <w:rPr>
          <w:rStyle w:val="FootnoteReference"/>
        </w:rPr>
        <w:footnoteReference w:id="81"/>
      </w:r>
      <w:r w:rsidR="002D5C46">
        <w:t xml:space="preserve">. </w:t>
      </w:r>
    </w:p>
    <w:p w14:paraId="209A2C8F" w14:textId="17426732" w:rsidR="004F7F79" w:rsidRDefault="002E0462" w:rsidP="0081049D">
      <w:r w:rsidDel="002E0462">
        <w:t>Combined with a public awareness campaign and voluntary labelling the</w:t>
      </w:r>
      <w:r w:rsidR="0DB13D9E">
        <w:t xml:space="preserve"> United Kingdom’s </w:t>
      </w:r>
      <w:r w:rsidR="002D5C46">
        <w:t xml:space="preserve">voluntary </w:t>
      </w:r>
      <w:r w:rsidR="00AB0985">
        <w:t>reformulation</w:t>
      </w:r>
      <w:r w:rsidR="002D5C46">
        <w:t xml:space="preserve"> </w:t>
      </w:r>
      <w:r w:rsidR="00AA1F0F">
        <w:t>program</w:t>
      </w:r>
      <w:r w:rsidR="002D5C46">
        <w:t>s</w:t>
      </w:r>
      <w:r w:rsidR="00AA1F0F">
        <w:t xml:space="preserve"> </w:t>
      </w:r>
      <w:r w:rsidR="0081049D">
        <w:t>ha</w:t>
      </w:r>
      <w:r w:rsidR="002D5C46">
        <w:t>ve</w:t>
      </w:r>
      <w:r w:rsidR="0081049D">
        <w:t xml:space="preserve"> </w:t>
      </w:r>
      <w:r w:rsidR="41B220F2">
        <w:t xml:space="preserve">resulted in </w:t>
      </w:r>
      <w:r w:rsidR="00AA1F0F">
        <w:t>significant improvements in the food supply and population sodium consumption</w:t>
      </w:r>
      <w:r w:rsidR="00AA1F0F">
        <w:rPr>
          <w:rStyle w:val="FootnoteReference"/>
        </w:rPr>
        <w:footnoteReference w:id="82"/>
      </w:r>
      <w:r w:rsidR="00AA1F0F">
        <w:t>. Public Health England recently reported</w:t>
      </w:r>
      <w:r w:rsidR="00AA1F0F">
        <w:rPr>
          <w:rStyle w:val="FootnoteReference"/>
        </w:rPr>
        <w:footnoteReference w:id="83"/>
      </w:r>
      <w:r w:rsidR="00AA1F0F">
        <w:t xml:space="preserve"> the voluntary salt reformulation program contributed to </w:t>
      </w:r>
      <w:r w:rsidR="0081049D">
        <w:t>reductions in population salt intake of 11% between</w:t>
      </w:r>
      <w:r w:rsidR="001403DE">
        <w:t xml:space="preserve"> 2005-06 and 2014.</w:t>
      </w:r>
      <w:r w:rsidR="75704A7B">
        <w:t xml:space="preserve"> Key to success has been the gradual progressive reductions</w:t>
      </w:r>
      <w:r w:rsidR="27D692C9">
        <w:t xml:space="preserve"> which reduced taste preferences.</w:t>
      </w:r>
      <w:r w:rsidR="75704A7B">
        <w:t xml:space="preserve"> </w:t>
      </w:r>
      <w:r w:rsidR="00E97278">
        <w:t xml:space="preserve">According to </w:t>
      </w:r>
      <w:r w:rsidR="00AB0985">
        <w:t>some researchers</w:t>
      </w:r>
      <w:r w:rsidRPr="77F8227F">
        <w:rPr>
          <w:rStyle w:val="FootnoteReference"/>
        </w:rPr>
        <w:footnoteReference w:id="84"/>
      </w:r>
      <w:r w:rsidR="00AB0985">
        <w:t xml:space="preserve"> </w:t>
      </w:r>
      <w:r w:rsidR="002D5C46">
        <w:t xml:space="preserve">population sodium intakes </w:t>
      </w:r>
      <w:r w:rsidR="00E70666">
        <w:t>could have been</w:t>
      </w:r>
      <w:r w:rsidR="1F304878">
        <w:t xml:space="preserve"> reduced further and a 26,000 additional cases of </w:t>
      </w:r>
      <w:r w:rsidR="387E23BE">
        <w:t>cardiovascular disease</w:t>
      </w:r>
      <w:r w:rsidR="1F304878">
        <w:t xml:space="preserve"> and </w:t>
      </w:r>
      <w:r w:rsidR="51A83B25">
        <w:t>3,800 additional cases of gastric cancer could hav</w:t>
      </w:r>
      <w:r w:rsidR="472F9D3F">
        <w:t>e</w:t>
      </w:r>
      <w:r w:rsidR="51A83B25">
        <w:t xml:space="preserve"> been avoide</w:t>
      </w:r>
      <w:r w:rsidR="6D5A6826">
        <w:t>d</w:t>
      </w:r>
      <w:r w:rsidR="3B70A57C">
        <w:t xml:space="preserve"> had </w:t>
      </w:r>
      <w:r w:rsidR="002D5C46">
        <w:t xml:space="preserve">the voluntary </w:t>
      </w:r>
      <w:r w:rsidR="00AB0985">
        <w:t>reformulation</w:t>
      </w:r>
      <w:r w:rsidR="002D5C46">
        <w:t xml:space="preserve"> program </w:t>
      </w:r>
      <w:r w:rsidR="44B85EE7">
        <w:t xml:space="preserve">not </w:t>
      </w:r>
      <w:r w:rsidR="002D5C46">
        <w:t xml:space="preserve">changed </w:t>
      </w:r>
      <w:r w:rsidR="00AB0985">
        <w:t xml:space="preserve">to the </w:t>
      </w:r>
      <w:r w:rsidR="00E70666">
        <w:t>‘</w:t>
      </w:r>
      <w:r w:rsidR="00AB0985">
        <w:t>Public Health Responsibility Deal</w:t>
      </w:r>
      <w:r w:rsidR="00027549">
        <w:t>’</w:t>
      </w:r>
      <w:r w:rsidR="00AB0985">
        <w:t xml:space="preserve"> in 2011</w:t>
      </w:r>
      <w:r w:rsidR="29A1FBBA">
        <w:t>.</w:t>
      </w:r>
      <w:r w:rsidR="00AB0985">
        <w:t xml:space="preserve"> </w:t>
      </w:r>
      <w:r w:rsidR="3E785F96">
        <w:t>Th</w:t>
      </w:r>
      <w:r w:rsidR="589E0291">
        <w:t>e researchers</w:t>
      </w:r>
      <w:r w:rsidR="3E785F96">
        <w:t xml:space="preserve"> attr</w:t>
      </w:r>
      <w:r w:rsidR="782DBB00">
        <w:t>ib</w:t>
      </w:r>
      <w:r w:rsidR="3E785F96">
        <w:t xml:space="preserve">uted </w:t>
      </w:r>
      <w:r w:rsidR="619CACB0">
        <w:t xml:space="preserve">the reduced potential health benefits </w:t>
      </w:r>
      <w:r w:rsidR="3E785F96">
        <w:t>to a lack</w:t>
      </w:r>
      <w:r w:rsidR="67200E88">
        <w:t xml:space="preserve"> of robust and independent target sett</w:t>
      </w:r>
      <w:r w:rsidR="754F1435">
        <w:t>i</w:t>
      </w:r>
      <w:r w:rsidR="67200E88">
        <w:t xml:space="preserve">ng and monitoring and enforcement </w:t>
      </w:r>
      <w:r w:rsidR="3C395A10">
        <w:t>under</w:t>
      </w:r>
      <w:r w:rsidR="67200E88">
        <w:t xml:space="preserve"> t</w:t>
      </w:r>
      <w:r w:rsidR="00E70666">
        <w:t>he ‘</w:t>
      </w:r>
      <w:r w:rsidR="2D8CAEAD">
        <w:t xml:space="preserve">Public Health Responsibility Deal’. </w:t>
      </w:r>
      <w:r w:rsidR="001403DE">
        <w:t>A separate evaluation</w:t>
      </w:r>
      <w:r w:rsidR="001403DE">
        <w:rPr>
          <w:rStyle w:val="FootnoteReference"/>
        </w:rPr>
        <w:footnoteReference w:id="85"/>
      </w:r>
      <w:r w:rsidR="001403DE">
        <w:t xml:space="preserve"> of the industry pledges under the Responsibility Deal suggested most industry pledges were actions already </w:t>
      </w:r>
      <w:proofErr w:type="gramStart"/>
      <w:r w:rsidR="001403DE">
        <w:t>underway, and</w:t>
      </w:r>
      <w:proofErr w:type="gramEnd"/>
      <w:r w:rsidR="001403DE">
        <w:t xml:space="preserve"> would have been implemented regardless of the pledge. It was recommended that the food industry be pushed beyond ‘business as usual’ reformulation to help improv</w:t>
      </w:r>
      <w:r w:rsidR="004B0842">
        <w:t>e population health outcomes.</w:t>
      </w:r>
    </w:p>
    <w:p w14:paraId="45147598" w14:textId="11CDD612" w:rsidR="0081049D" w:rsidRDefault="006A3E21" w:rsidP="0081049D">
      <w:r>
        <w:lastRenderedPageBreak/>
        <w:t>Other countries with voluntary sodium reformulation programs include the United States, Italy, Ireland, Hungary, Canada and Croatia</w:t>
      </w:r>
      <w:r>
        <w:rPr>
          <w:rStyle w:val="FootnoteReference"/>
        </w:rPr>
        <w:footnoteReference w:id="86"/>
      </w:r>
      <w:r w:rsidR="00691616">
        <w:t>.</w:t>
      </w:r>
    </w:p>
    <w:p w14:paraId="38A2BB45" w14:textId="77777777" w:rsidR="00D57988" w:rsidRDefault="00D57988" w:rsidP="003B5E2D">
      <w:pPr>
        <w:pStyle w:val="Heading5"/>
      </w:pPr>
      <w:r>
        <w:t>Sugar</w:t>
      </w:r>
    </w:p>
    <w:p w14:paraId="3CF01A91" w14:textId="5B920229" w:rsidR="0081049D" w:rsidRDefault="00FC7ED5" w:rsidP="02E92738">
      <w:pPr>
        <w:rPr>
          <w:rStyle w:val="Hyperlink"/>
        </w:rPr>
      </w:pPr>
      <w:r>
        <w:t>T</w:t>
      </w:r>
      <w:r w:rsidR="0081049D">
        <w:t>he United Kingdom is</w:t>
      </w:r>
      <w:r w:rsidR="00AB0985">
        <w:t xml:space="preserve"> currently</w:t>
      </w:r>
      <w:r w:rsidR="0081049D">
        <w:t xml:space="preserve"> seeking to achieve a 20% sugar reduction by 2020 (against a 2015 baseline) across the top </w:t>
      </w:r>
      <w:r w:rsidR="005D7C6B">
        <w:t xml:space="preserve">nine </w:t>
      </w:r>
      <w:r w:rsidR="0081049D">
        <w:t>categories of food that contribute most to children’s sugar intakes. The United Kingdom</w:t>
      </w:r>
      <w:r w:rsidR="0081049D">
        <w:rPr>
          <w:rStyle w:val="FootnoteReference"/>
        </w:rPr>
        <w:footnoteReference w:id="87"/>
      </w:r>
      <w:r w:rsidR="0081049D">
        <w:t xml:space="preserve"> is also working with the food industry to voluntarily reduce calorie</w:t>
      </w:r>
      <w:r w:rsidR="46912557">
        <w:t xml:space="preserve"> content</w:t>
      </w:r>
      <w:r w:rsidR="0081049D">
        <w:t xml:space="preserve"> by 20% by 2024 (2017 baseline) in </w:t>
      </w:r>
      <w:r w:rsidR="005D7C6B">
        <w:t xml:space="preserve">fifteen </w:t>
      </w:r>
      <w:r w:rsidR="0081049D">
        <w:t>savoury food categories that make a major contribution to children’s diets. For both targets, the industry can either reformulate, change in portion size</w:t>
      </w:r>
      <w:r w:rsidR="56A4E690">
        <w:t>,</w:t>
      </w:r>
      <w:r w:rsidR="0081049D">
        <w:t xml:space="preserve"> or encourage consumers to purchase lower sugar/calorie products. </w:t>
      </w:r>
    </w:p>
    <w:p w14:paraId="5B571755" w14:textId="1F5D92C2" w:rsidR="0081049D" w:rsidRDefault="131594B6" w:rsidP="19C8347C">
      <w:r>
        <w:t>A 2019 modelling study</w:t>
      </w:r>
      <w:r w:rsidR="0081049D" w:rsidRPr="3427A3ED">
        <w:rPr>
          <w:rStyle w:val="FootnoteReference"/>
        </w:rPr>
        <w:footnoteReference w:id="88"/>
      </w:r>
      <w:r>
        <w:t xml:space="preserve"> predicted that if the United Kingdom sugar reduction targets were met (and the population did not change its diet), the resulting reduction in obesity could be 5.5% for </w:t>
      </w:r>
      <w:proofErr w:type="gramStart"/>
      <w:r>
        <w:t xml:space="preserve">4-10 year </w:t>
      </w:r>
      <w:proofErr w:type="spellStart"/>
      <w:r>
        <w:t>olds</w:t>
      </w:r>
      <w:proofErr w:type="spellEnd"/>
      <w:proofErr w:type="gramEnd"/>
      <w:r>
        <w:t xml:space="preserve">, 2.2% for 11-18 year </w:t>
      </w:r>
      <w:proofErr w:type="spellStart"/>
      <w:r>
        <w:t>olds</w:t>
      </w:r>
      <w:proofErr w:type="spellEnd"/>
      <w:r>
        <w:t xml:space="preserve"> and 5.5% for 19-80 year </w:t>
      </w:r>
      <w:proofErr w:type="spellStart"/>
      <w:r>
        <w:t>olds</w:t>
      </w:r>
      <w:proofErr w:type="spellEnd"/>
      <w:r>
        <w:t xml:space="preserve">. </w:t>
      </w:r>
      <w:r w:rsidR="5D435988">
        <w:t xml:space="preserve">This analysis </w:t>
      </w:r>
      <w:r w:rsidR="2C37B18C">
        <w:t xml:space="preserve">focussed on the potential impacts of the </w:t>
      </w:r>
      <w:r w:rsidR="18E72436">
        <w:t>sugar reduction</w:t>
      </w:r>
      <w:r w:rsidR="5D435988">
        <w:t xml:space="preserve"> </w:t>
      </w:r>
      <w:r w:rsidR="0DFA53C7">
        <w:t>activities</w:t>
      </w:r>
      <w:r w:rsidR="1ACF84BD">
        <w:t xml:space="preserve"> (reformulation, changes to portion size or shifting sales)</w:t>
      </w:r>
      <w:r w:rsidR="0DFA53C7">
        <w:t xml:space="preserve"> and potential </w:t>
      </w:r>
      <w:r w:rsidR="5D435988">
        <w:t>impact</w:t>
      </w:r>
      <w:r w:rsidR="69CC75E1">
        <w:t>s</w:t>
      </w:r>
      <w:r w:rsidR="5D435988">
        <w:t xml:space="preserve"> of </w:t>
      </w:r>
      <w:r w:rsidR="5BD35708">
        <w:t>t</w:t>
      </w:r>
      <w:r w:rsidR="5D435988">
        <w:t>he Soft Drink Industry Levy</w:t>
      </w:r>
      <w:r w:rsidR="1CFE57FC">
        <w:t xml:space="preserve"> were not considered</w:t>
      </w:r>
      <w:r w:rsidR="5D435988">
        <w:t xml:space="preserve">. </w:t>
      </w:r>
      <w:r w:rsidR="61FD478F">
        <w:t xml:space="preserve">Impacts </w:t>
      </w:r>
      <w:r w:rsidR="30824AA7">
        <w:t xml:space="preserve">of the reformulation program </w:t>
      </w:r>
      <w:r w:rsidR="61FD478F">
        <w:t xml:space="preserve">on chronic disease prevalence over a </w:t>
      </w:r>
      <w:proofErr w:type="gramStart"/>
      <w:r w:rsidR="61FD478F">
        <w:t>ten year</w:t>
      </w:r>
      <w:proofErr w:type="gramEnd"/>
      <w:r w:rsidR="61FD478F">
        <w:t xml:space="preserve"> period amongst adults was estimated to be</w:t>
      </w:r>
      <w:r>
        <w:t xml:space="preserve"> 155,000 fewer cases of diabetes, 3,500 fewer cases of </w:t>
      </w:r>
      <w:r w:rsidR="7C1F98D0">
        <w:t>cardiovascular</w:t>
      </w:r>
      <w:r>
        <w:t xml:space="preserve"> disease and 5,800 fewer cases of colorectal cancer with a saving of £285.8 million to the health care system. </w:t>
      </w:r>
    </w:p>
    <w:p w14:paraId="4B5004A8" w14:textId="40893EC5" w:rsidR="0081049D" w:rsidRDefault="00D277B6" w:rsidP="19C8347C">
      <w:r>
        <w:t>S</w:t>
      </w:r>
      <w:r w:rsidR="0081049D">
        <w:t xml:space="preserve">uccess of the </w:t>
      </w:r>
      <w:r w:rsidR="62FFFB80">
        <w:t xml:space="preserve">United Kingdom’s </w:t>
      </w:r>
      <w:r w:rsidR="0081049D">
        <w:t>voluntary sugar reduction program has varied</w:t>
      </w:r>
      <w:r w:rsidR="506F24F2">
        <w:t xml:space="preserve"> depending on the food category</w:t>
      </w:r>
      <w:r w:rsidR="1B51122C">
        <w:t xml:space="preserve"> and sector</w:t>
      </w:r>
      <w:r w:rsidR="6C17B77D">
        <w:t>.</w:t>
      </w:r>
      <w:r w:rsidR="7EDB5DA9">
        <w:t xml:space="preserve"> The m</w:t>
      </w:r>
      <w:r w:rsidR="00E70666">
        <w:t>ost recent evaluation</w:t>
      </w:r>
      <w:r w:rsidR="0081049D">
        <w:t xml:space="preserve"> report</w:t>
      </w:r>
      <w:r w:rsidR="5234964D">
        <w:t>ed</w:t>
      </w:r>
      <w:r w:rsidR="0081049D">
        <w:t xml:space="preserve"> an overall 2.9% reduction in average sugar content of products</w:t>
      </w:r>
      <w:r w:rsidR="173A56FB">
        <w:t xml:space="preserve"> sold between 2015 and 2018</w:t>
      </w:r>
      <w:r w:rsidR="380C7CF5">
        <w:t xml:space="preserve"> (weighted sales average in grams, per 100g grams) among retail and manufacturer branded products (referre</w:t>
      </w:r>
      <w:r w:rsidR="00E70666">
        <w:t>d to as the ‘in-</w:t>
      </w:r>
      <w:r w:rsidR="380C7CF5">
        <w:t>home sector’)</w:t>
      </w:r>
      <w:r w:rsidR="60327F76">
        <w:t xml:space="preserve">. When results are disaggregated according to </w:t>
      </w:r>
      <w:r w:rsidR="592F75AD">
        <w:t xml:space="preserve">product categories </w:t>
      </w:r>
      <w:r w:rsidR="00E70666">
        <w:t>within the in-home sector</w:t>
      </w:r>
      <w:r w:rsidR="1AD79847">
        <w:t>,</w:t>
      </w:r>
      <w:r w:rsidR="60327F76">
        <w:t xml:space="preserve"> the extent of reformulation varied</w:t>
      </w:r>
      <w:r w:rsidR="00E70666">
        <w:t>. F</w:t>
      </w:r>
      <w:r w:rsidR="52A6916D">
        <w:t>or example, yoghurts and fromage fraise recorded a 10.3% reduction and breakfast cer</w:t>
      </w:r>
      <w:r w:rsidR="1D568204">
        <w:t>e</w:t>
      </w:r>
      <w:r w:rsidR="52A6916D">
        <w:t xml:space="preserve">als recorded </w:t>
      </w:r>
      <w:proofErr w:type="gramStart"/>
      <w:r w:rsidR="52A6916D">
        <w:t>a</w:t>
      </w:r>
      <w:proofErr w:type="gramEnd"/>
      <w:r w:rsidR="52A6916D">
        <w:t xml:space="preserve"> 8.5% </w:t>
      </w:r>
      <w:r w:rsidR="78A64181">
        <w:t>sugar</w:t>
      </w:r>
      <w:r w:rsidR="52A6916D">
        <w:t xml:space="preserve"> redu</w:t>
      </w:r>
      <w:r w:rsidR="7D342F14">
        <w:t>ctio</w:t>
      </w:r>
      <w:r w:rsidR="3EFE2D9C">
        <w:t>n between 2015 and 2018</w:t>
      </w:r>
      <w:r w:rsidR="7A9056D2">
        <w:t>.</w:t>
      </w:r>
      <w:r w:rsidR="19F8283A">
        <w:t xml:space="preserve"> </w:t>
      </w:r>
      <w:r w:rsidR="5AFD5962">
        <w:t>M</w:t>
      </w:r>
      <w:r w:rsidR="19F8283A">
        <w:t>uch smaller changes</w:t>
      </w:r>
      <w:r w:rsidR="351F62E1">
        <w:t xml:space="preserve"> were reported</w:t>
      </w:r>
      <w:r w:rsidR="19F8283A">
        <w:t xml:space="preserve"> for categories such as biscuits</w:t>
      </w:r>
      <w:r w:rsidR="547912D7">
        <w:t xml:space="preserve"> (0.6%)</w:t>
      </w:r>
      <w:r w:rsidR="19F8283A">
        <w:t xml:space="preserve">, </w:t>
      </w:r>
      <w:r w:rsidR="6B001F64">
        <w:t>chocolate</w:t>
      </w:r>
      <w:r w:rsidR="19F8283A">
        <w:t xml:space="preserve"> confectionary</w:t>
      </w:r>
      <w:r w:rsidR="54CBA498">
        <w:t xml:space="preserve"> (0.3%)</w:t>
      </w:r>
      <w:r w:rsidR="19F8283A">
        <w:t xml:space="preserve">, and </w:t>
      </w:r>
      <w:r w:rsidR="2E6DC586">
        <w:t>ice cream</w:t>
      </w:r>
      <w:r w:rsidR="19F8283A">
        <w:t>, lollies and sorbets</w:t>
      </w:r>
      <w:r w:rsidR="00E70666">
        <w:t xml:space="preserve"> (0.3%)</w:t>
      </w:r>
      <w:r w:rsidR="19F8283A">
        <w:t xml:space="preserve">. </w:t>
      </w:r>
      <w:r w:rsidR="1E865933">
        <w:t xml:space="preserve">Despite the average sugar content of products reducing, </w:t>
      </w:r>
      <w:r w:rsidR="0081049D">
        <w:t>total tonnes of sugar sold in foods included in the reformulation program from the in-home</w:t>
      </w:r>
      <w:r w:rsidR="099AA3B2">
        <w:t xml:space="preserve"> </w:t>
      </w:r>
      <w:r w:rsidR="0081049D">
        <w:t xml:space="preserve">sector </w:t>
      </w:r>
      <w:proofErr w:type="gramStart"/>
      <w:r w:rsidR="0081049D">
        <w:t>actually increased</w:t>
      </w:r>
      <w:proofErr w:type="gramEnd"/>
      <w:r w:rsidR="0081049D">
        <w:t xml:space="preserve"> by 2.6% between 2015 and 2018 (excluding cakes and morning goods)</w:t>
      </w:r>
      <w:r w:rsidR="0081049D">
        <w:rPr>
          <w:rStyle w:val="FootnoteReference"/>
        </w:rPr>
        <w:footnoteReference w:id="89"/>
      </w:r>
      <w:r w:rsidR="0081049D">
        <w:t xml:space="preserve">. </w:t>
      </w:r>
    </w:p>
    <w:p w14:paraId="6237F80D" w14:textId="078EA37A" w:rsidR="0081049D" w:rsidRDefault="005618A5" w:rsidP="19C8347C">
      <w:r>
        <w:t xml:space="preserve">Equivalent statistics for </w:t>
      </w:r>
      <w:r w:rsidR="55922D6B">
        <w:t xml:space="preserve">the United Kingdom’s </w:t>
      </w:r>
      <w:r w:rsidR="181E455B">
        <w:t xml:space="preserve">out-of-home sector were not available. </w:t>
      </w:r>
      <w:r w:rsidR="2B747A0B">
        <w:t>However</w:t>
      </w:r>
      <w:r w:rsidR="787CA9B2">
        <w:t>,</w:t>
      </w:r>
      <w:r w:rsidR="2B747A0B">
        <w:t xml:space="preserve"> the simple average total sugar per 100 grams in out-of-home sector products reduced by 4.9% between 2017 and 2018. </w:t>
      </w:r>
      <w:r w:rsidR="00D277B6">
        <w:t>M</w:t>
      </w:r>
      <w:r w:rsidR="60AA8C09">
        <w:t xml:space="preserve">ajor sugar reductions </w:t>
      </w:r>
      <w:r w:rsidR="482E27D7">
        <w:t>(simple aver</w:t>
      </w:r>
      <w:r w:rsidR="11B8BE06">
        <w:t>a</w:t>
      </w:r>
      <w:r w:rsidR="482E27D7">
        <w:t xml:space="preserve">ge) </w:t>
      </w:r>
      <w:r w:rsidR="60AA8C09">
        <w:t>were recorded between 2017 and 2018 for yoghurts and fromage frais (23.5% average sugar reduction) and breakfast cereals (</w:t>
      </w:r>
      <w:r w:rsidR="2C260059">
        <w:t>1</w:t>
      </w:r>
      <w:r w:rsidR="60AA8C09">
        <w:t>7.1% reduction)</w:t>
      </w:r>
      <w:r w:rsidR="3464C178">
        <w:t>, puddings (15.0%)</w:t>
      </w:r>
      <w:r w:rsidR="4186BCD8">
        <w:t xml:space="preserve"> and ice</w:t>
      </w:r>
      <w:r w:rsidR="254410AE">
        <w:t>-</w:t>
      </w:r>
      <w:r w:rsidR="4186BCD8">
        <w:t xml:space="preserve">cream, lollies and sorbets reduced by 12.9%. </w:t>
      </w:r>
      <w:r w:rsidR="24BD87B3">
        <w:t>Chocolate</w:t>
      </w:r>
      <w:r w:rsidR="4186BCD8">
        <w:t xml:space="preserve"> confectionary sugar content increased by 3.6%. </w:t>
      </w:r>
    </w:p>
    <w:p w14:paraId="70844670" w14:textId="5E6E6CF8" w:rsidR="00D57988" w:rsidRDefault="00D57988" w:rsidP="003B5E2D">
      <w:pPr>
        <w:pStyle w:val="Heading5"/>
      </w:pPr>
      <w:r w:rsidRPr="002C6C97">
        <w:lastRenderedPageBreak/>
        <w:t>Positive nutrients</w:t>
      </w:r>
    </w:p>
    <w:p w14:paraId="29EB08BC" w14:textId="3380705C" w:rsidR="00B24541" w:rsidRDefault="00B24541" w:rsidP="008911BE">
      <w:r>
        <w:t>Government led voluntary reformulation efforts to increase positive nutrients in the food supply is not widely undertaken</w:t>
      </w:r>
      <w:r w:rsidR="00C90DAE">
        <w:t xml:space="preserve">. </w:t>
      </w:r>
      <w:r w:rsidR="003A5C5E">
        <w:t>However, i</w:t>
      </w:r>
      <w:r w:rsidR="00FD00AF">
        <w:t xml:space="preserve">ndividual food companies may </w:t>
      </w:r>
      <w:r w:rsidR="003A5C5E">
        <w:t>reformulate</w:t>
      </w:r>
      <w:r w:rsidR="00FD00AF">
        <w:t xml:space="preserve"> to increase positive ingredients or nutrients such as fibre, wholegrains, fruit and vegetabl</w:t>
      </w:r>
      <w:r w:rsidR="00BD7FD1">
        <w:t>e</w:t>
      </w:r>
      <w:r w:rsidR="004B0842">
        <w:t>s.</w:t>
      </w:r>
    </w:p>
    <w:p w14:paraId="4D57579C" w14:textId="4E8FBBD7" w:rsidR="008911BE" w:rsidRPr="008911BE" w:rsidRDefault="00B24541" w:rsidP="008911BE">
      <w:r>
        <w:t>One of the pledges under the United Kingdom Public Health Responsibility Deal which food companies could commit to was reformulating composite products (</w:t>
      </w:r>
      <w:proofErr w:type="gramStart"/>
      <w:r>
        <w:t>e.g.</w:t>
      </w:r>
      <w:proofErr w:type="gramEnd"/>
      <w:r>
        <w:t xml:space="preserve"> ready meals) to increase the fruit and vegetable content. However</w:t>
      </w:r>
      <w:r w:rsidR="00DC4529">
        <w:t>,</w:t>
      </w:r>
      <w:r>
        <w:t xml:space="preserve"> an evaluation</w:t>
      </w:r>
      <w:r w:rsidR="00346E3F">
        <w:rPr>
          <w:rStyle w:val="FootnoteReference"/>
        </w:rPr>
        <w:footnoteReference w:id="90"/>
      </w:r>
      <w:r>
        <w:t xml:space="preserve"> of the Responsibility Deal identified only 5% of companies involved in the Responsibility Deal made this pledge. When evaluators asked companies for progress against pledges, data reporting was </w:t>
      </w:r>
      <w:r w:rsidR="00874A36">
        <w:t xml:space="preserve">inconsistent or not available, </w:t>
      </w:r>
      <w:r w:rsidR="00DC4529">
        <w:t>and</w:t>
      </w:r>
      <w:r w:rsidR="00874A36">
        <w:t xml:space="preserve"> i</w:t>
      </w:r>
      <w:r>
        <w:t>t is therefore not possible to determine the success of this measure</w:t>
      </w:r>
      <w:r w:rsidR="00874A36">
        <w:t xml:space="preserve">. This highlights the importance of </w:t>
      </w:r>
      <w:r>
        <w:t xml:space="preserve">accurate and transparent reporting against voluntary targets. </w:t>
      </w:r>
    </w:p>
    <w:p w14:paraId="67188808" w14:textId="77777777" w:rsidR="003D3497" w:rsidRPr="003B5E2D" w:rsidRDefault="003D3497" w:rsidP="003B5E2D">
      <w:pPr>
        <w:pStyle w:val="Heading3"/>
      </w:pPr>
      <w:bookmarkStart w:id="55" w:name="_Toc49506065"/>
      <w:bookmarkStart w:id="56" w:name="_Toc49506913"/>
      <w:bookmarkStart w:id="57" w:name="_Toc54273226"/>
      <w:r w:rsidRPr="003B5E2D">
        <w:t>Other activities that have contributed to food reformulation</w:t>
      </w:r>
      <w:bookmarkEnd w:id="55"/>
      <w:bookmarkEnd w:id="56"/>
      <w:bookmarkEnd w:id="57"/>
      <w:r w:rsidRPr="003B5E2D">
        <w:t xml:space="preserve"> </w:t>
      </w:r>
    </w:p>
    <w:p w14:paraId="33278E99" w14:textId="77777777" w:rsidR="003D3497" w:rsidRPr="0033317A" w:rsidRDefault="003D3497" w:rsidP="003D3497">
      <w:r>
        <w:t xml:space="preserve">While compositional limits and voluntary reformulation activities directly seek to improve food composition, there are other activities that have led to improved food composition. Some examples are discussed below. </w:t>
      </w:r>
    </w:p>
    <w:p w14:paraId="0F964872" w14:textId="77777777" w:rsidR="003D3497" w:rsidRDefault="003D3497" w:rsidP="003D3497">
      <w:pPr>
        <w:pStyle w:val="Heading4"/>
      </w:pPr>
      <w:r>
        <w:t xml:space="preserve">Food labelling </w:t>
      </w:r>
    </w:p>
    <w:p w14:paraId="11A5B5F0" w14:textId="26450B0E" w:rsidR="003D3497" w:rsidRDefault="003D3497" w:rsidP="003D3497">
      <w:r>
        <w:t xml:space="preserve">In Australia and New Zealand, the Health Star Rating (HSR) front-of-pack system has led to </w:t>
      </w:r>
      <w:r w:rsidR="0001799B" w:rsidRPr="00110EB0">
        <w:t xml:space="preserve">some </w:t>
      </w:r>
      <w:r w:rsidRPr="00110EB0">
        <w:t xml:space="preserve">product reformulation. In New Zealand, there is evidence of </w:t>
      </w:r>
      <w:r w:rsidR="0088647C" w:rsidRPr="00110EB0">
        <w:t>positive</w:t>
      </w:r>
      <w:r w:rsidRPr="00110EB0">
        <w:t xml:space="preserve"> product reformulation of HSR</w:t>
      </w:r>
      <w:r>
        <w:t xml:space="preserve"> labelled products relative to non-HSR products with respect to sodium</w:t>
      </w:r>
      <w:r>
        <w:rPr>
          <w:rStyle w:val="FootnoteReference"/>
        </w:rPr>
        <w:footnoteReference w:id="91"/>
      </w:r>
      <w:r>
        <w:t>. However, when weighted by food purchase data, this does not currently translate to overall improvements in the healthiness of food purchase</w:t>
      </w:r>
      <w:r w:rsidR="00952F02">
        <w:t>d by New Zealand households</w:t>
      </w:r>
      <w:r w:rsidR="00D277B6">
        <w:t xml:space="preserve">. </w:t>
      </w:r>
      <w:r>
        <w:t>For Australia, there is evidence that participation in the HSR program has been associated with product reformulation for saturated fat and total energy content</w:t>
      </w:r>
      <w:r>
        <w:rPr>
          <w:rStyle w:val="FootnoteReference"/>
        </w:rPr>
        <w:footnoteReference w:id="92"/>
      </w:r>
      <w:r>
        <w:t xml:space="preserve">. </w:t>
      </w:r>
    </w:p>
    <w:p w14:paraId="41C5D022" w14:textId="3F3B6AB8" w:rsidR="0049600A" w:rsidRDefault="0049600A" w:rsidP="003D3497">
      <w:r>
        <w:t>There is also work underway by FSANZ</w:t>
      </w:r>
      <w:r w:rsidR="001F01E9">
        <w:t xml:space="preserve"> </w:t>
      </w:r>
      <w:r>
        <w:t xml:space="preserve">to review labelling for added sugars. This work is in response to a request from the Forum in August 2019 where the Forum recognised that information about added sugars on food labels is limited and/or unclear which limits consumers’ ability to make food choices consistent with dietary guidelines. FSANZ is currently working on a review to look at whether and how the Food Standards Code should be amended to help consumers make more informed choices about added sugars in foods. If the review finds there is a need to change the Code, a proposal will be prepared and included on FSANZ’s work plan. If sugar labelling requirements change </w:t>
      </w:r>
      <w:proofErr w:type="gramStart"/>
      <w:r>
        <w:t>as a result of</w:t>
      </w:r>
      <w:proofErr w:type="gramEnd"/>
      <w:r>
        <w:t xml:space="preserve"> this work, then it is possible that this may result in changes to food composition as food companies may seek to reduce their product’s added sugar content in response to consumer demand. </w:t>
      </w:r>
    </w:p>
    <w:p w14:paraId="6593894B" w14:textId="68A47332" w:rsidR="001C22D9" w:rsidRDefault="001C22D9" w:rsidP="003D3497">
      <w:r>
        <w:lastRenderedPageBreak/>
        <w:t xml:space="preserve">However, in response to the consultation on the Policy Guideline </w:t>
      </w:r>
      <w:r w:rsidR="00B9510A" w:rsidRPr="00B9510A">
        <w:t>on food labelling to support consumers to make informed healthy food choices</w:t>
      </w:r>
      <w:r w:rsidR="00B9510A">
        <w:t xml:space="preserve">, some food industry stakeholders raised concerns about linking food labelling to </w:t>
      </w:r>
      <w:proofErr w:type="gramStart"/>
      <w:r w:rsidR="00B9510A">
        <w:t>reformulation, and</w:t>
      </w:r>
      <w:proofErr w:type="gramEnd"/>
      <w:r w:rsidR="00B9510A">
        <w:t xml:space="preserve"> noted that labelling is not necessarily </w:t>
      </w:r>
      <w:r w:rsidR="00D25D1D">
        <w:t xml:space="preserve">a driver for them to reformulate their products. </w:t>
      </w:r>
    </w:p>
    <w:p w14:paraId="426FD333" w14:textId="57E33F3A" w:rsidR="00F71621" w:rsidRDefault="00F71621" w:rsidP="003D3497">
      <w:pPr>
        <w:pStyle w:val="Heading4"/>
      </w:pPr>
      <w:r>
        <w:t>Taxes</w:t>
      </w:r>
      <w:r w:rsidR="004E64D8">
        <w:t xml:space="preserve"> </w:t>
      </w:r>
    </w:p>
    <w:p w14:paraId="560F3735" w14:textId="5DA60141" w:rsidR="003D3497" w:rsidRDefault="40B4A23D" w:rsidP="004C0B7F">
      <w:r>
        <w:t xml:space="preserve">While not the focus of this work, </w:t>
      </w:r>
      <w:r w:rsidR="230782EC">
        <w:t>t</w:t>
      </w:r>
      <w:r w:rsidR="00F71621">
        <w:t xml:space="preserve">axes on </w:t>
      </w:r>
      <w:r w:rsidR="00DC4529">
        <w:t xml:space="preserve">the </w:t>
      </w:r>
      <w:r w:rsidR="00F71621">
        <w:t xml:space="preserve">sugar content of </w:t>
      </w:r>
      <w:r w:rsidR="003D3497">
        <w:t xml:space="preserve">sugar-sweetened </w:t>
      </w:r>
      <w:r w:rsidR="00F71621">
        <w:t xml:space="preserve">beverages are in place in </w:t>
      </w:r>
      <w:proofErr w:type="gramStart"/>
      <w:r w:rsidR="00F71621">
        <w:t>a number of</w:t>
      </w:r>
      <w:proofErr w:type="gramEnd"/>
      <w:r w:rsidR="00F71621">
        <w:t xml:space="preserve"> countries. </w:t>
      </w:r>
      <w:r w:rsidR="003D3497">
        <w:t xml:space="preserve">Evidence indicates that the beverage industry has responded by reformulating beverages subject to the tax </w:t>
      </w:r>
      <w:r w:rsidR="00D277B6">
        <w:t>to reduce the</w:t>
      </w:r>
      <w:r w:rsidR="003D3497">
        <w:t xml:space="preserve"> sugar content and therefore minimise tax payable</w:t>
      </w:r>
      <w:r w:rsidR="00064469">
        <w:rPr>
          <w:rStyle w:val="FootnoteReference"/>
        </w:rPr>
        <w:footnoteReference w:id="93"/>
      </w:r>
      <w:r w:rsidR="003D3497">
        <w:t xml:space="preserve">. </w:t>
      </w:r>
    </w:p>
    <w:p w14:paraId="478EB0C0" w14:textId="07042CE5" w:rsidR="006D47C9" w:rsidRDefault="00F71621" w:rsidP="004C0B7F">
      <w:pPr>
        <w:sectPr w:rsidR="006D47C9">
          <w:pgSz w:w="11906" w:h="16838"/>
          <w:pgMar w:top="1440" w:right="1440" w:bottom="1440" w:left="1440" w:header="708" w:footer="708" w:gutter="0"/>
          <w:cols w:space="708"/>
          <w:docGrid w:linePitch="360"/>
        </w:sectPr>
      </w:pPr>
      <w:r>
        <w:t xml:space="preserve">For example, the </w:t>
      </w:r>
      <w:r w:rsidR="006D47C9">
        <w:t>S</w:t>
      </w:r>
      <w:r w:rsidR="1D84FE43">
        <w:t xml:space="preserve">oft </w:t>
      </w:r>
      <w:r w:rsidR="006D47C9">
        <w:t>D</w:t>
      </w:r>
      <w:r w:rsidR="1D84FE43">
        <w:t xml:space="preserve">rink </w:t>
      </w:r>
      <w:r w:rsidR="006D47C9">
        <w:t>I</w:t>
      </w:r>
      <w:r w:rsidR="1D84FE43">
        <w:t xml:space="preserve">ndustry </w:t>
      </w:r>
      <w:r w:rsidR="006D47C9">
        <w:t>L</w:t>
      </w:r>
      <w:r w:rsidR="1D84FE43">
        <w:t xml:space="preserve">evy in the </w:t>
      </w:r>
      <w:r>
        <w:t>United Kingdom</w:t>
      </w:r>
      <w:r w:rsidR="3E57F95C">
        <w:t xml:space="preserve"> is aimed at producers and importers of added sugar soft drinks</w:t>
      </w:r>
      <w:r w:rsidR="006D47C9">
        <w:t xml:space="preserve"> and </w:t>
      </w:r>
      <w:r>
        <w:t xml:space="preserve">achieved a 28.8% reduction in the average sugar content of drinks subject to the </w:t>
      </w:r>
      <w:r w:rsidR="1F0F47D8">
        <w:t>levy</w:t>
      </w:r>
      <w:r>
        <w:t xml:space="preserve"> between 2015 and 2018</w:t>
      </w:r>
      <w:r>
        <w:rPr>
          <w:rStyle w:val="FootnoteReference"/>
        </w:rPr>
        <w:footnoteReference w:id="94"/>
      </w:r>
      <w:r>
        <w:t>.</w:t>
      </w:r>
      <w:r w:rsidR="64CBCC8B">
        <w:t xml:space="preserve"> This percentage is much greater than sugar reductions recorded for food categories included in the United </w:t>
      </w:r>
      <w:proofErr w:type="gramStart"/>
      <w:r w:rsidR="64CBCC8B">
        <w:t>Kingdom‘</w:t>
      </w:r>
      <w:proofErr w:type="gramEnd"/>
      <w:r w:rsidR="64CBCC8B">
        <w:t>s sugar reduction program</w:t>
      </w:r>
      <w:r w:rsidR="006D47C9">
        <w:t>.</w:t>
      </w:r>
      <w:r>
        <w:t xml:space="preserve"> </w:t>
      </w:r>
      <w:r w:rsidR="004C0B7F">
        <w:t xml:space="preserve">Another evaluation </w:t>
      </w:r>
      <w:r w:rsidR="5DCAF447">
        <w:t xml:space="preserve">of the Soft Drinks Industry Levy </w:t>
      </w:r>
      <w:r w:rsidR="004C0B7F">
        <w:t>reported that between 2015 and 2019, the proportion of drinks with sugar content greater than 5 g per 100 mL fell from an expected level of 49% to 15%</w:t>
      </w:r>
      <w:r w:rsidR="004C0B7F">
        <w:rPr>
          <w:rStyle w:val="FootnoteReference"/>
        </w:rPr>
        <w:footnoteReference w:id="95"/>
      </w:r>
      <w:r w:rsidR="004C0B7F">
        <w:t xml:space="preserve">. </w:t>
      </w:r>
    </w:p>
    <w:p w14:paraId="0C3449DB" w14:textId="5AB40EFC" w:rsidR="00F71621" w:rsidRPr="00730A8C" w:rsidRDefault="007172CC" w:rsidP="00FC7ED5">
      <w:pPr>
        <w:pStyle w:val="Heading2"/>
        <w:rPr>
          <w:b/>
        </w:rPr>
      </w:pPr>
      <w:bookmarkStart w:id="58" w:name="_Toc49506066"/>
      <w:bookmarkStart w:id="59" w:name="_Toc49506914"/>
      <w:bookmarkStart w:id="60" w:name="_Toc54273227"/>
      <w:r>
        <w:rPr>
          <w:b/>
        </w:rPr>
        <w:lastRenderedPageBreak/>
        <w:t>Part 3</w:t>
      </w:r>
      <w:r w:rsidR="006D47C9" w:rsidRPr="00730A8C">
        <w:rPr>
          <w:b/>
        </w:rPr>
        <w:t xml:space="preserve">: </w:t>
      </w:r>
      <w:bookmarkStart w:id="61" w:name="_Hlk47367819"/>
      <w:r w:rsidR="003B5E2D">
        <w:rPr>
          <w:b/>
        </w:rPr>
        <w:t>Food and n</w:t>
      </w:r>
      <w:r w:rsidR="00F71621" w:rsidRPr="00730A8C">
        <w:rPr>
          <w:b/>
        </w:rPr>
        <w:t xml:space="preserve">utrient intakes in </w:t>
      </w:r>
      <w:r w:rsidR="003B5E2D">
        <w:rPr>
          <w:b/>
        </w:rPr>
        <w:t>Australia and New Zealand</w:t>
      </w:r>
      <w:r w:rsidR="004C66C5">
        <w:rPr>
          <w:b/>
        </w:rPr>
        <w:t>,</w:t>
      </w:r>
      <w:r w:rsidR="00F71621" w:rsidRPr="00730A8C">
        <w:rPr>
          <w:b/>
        </w:rPr>
        <w:t xml:space="preserve"> </w:t>
      </w:r>
      <w:r w:rsidR="00A9211E">
        <w:rPr>
          <w:b/>
        </w:rPr>
        <w:t xml:space="preserve">identification of </w:t>
      </w:r>
      <w:r w:rsidR="00F71621" w:rsidRPr="00730A8C">
        <w:rPr>
          <w:b/>
        </w:rPr>
        <w:t>where reformulation actions are already occurring</w:t>
      </w:r>
      <w:r w:rsidR="00217BB3">
        <w:rPr>
          <w:b/>
        </w:rPr>
        <w:t>,</w:t>
      </w:r>
      <w:r w:rsidR="00F71621" w:rsidRPr="00730A8C">
        <w:rPr>
          <w:b/>
        </w:rPr>
        <w:t xml:space="preserve"> </w:t>
      </w:r>
      <w:r w:rsidR="00217BB3">
        <w:rPr>
          <w:b/>
        </w:rPr>
        <w:t>and</w:t>
      </w:r>
      <w:r w:rsidR="004C66C5">
        <w:rPr>
          <w:b/>
        </w:rPr>
        <w:t xml:space="preserve"> </w:t>
      </w:r>
      <w:r w:rsidR="00217BB3">
        <w:rPr>
          <w:b/>
        </w:rPr>
        <w:t xml:space="preserve">consideration of </w:t>
      </w:r>
      <w:r w:rsidR="00CF56EA">
        <w:rPr>
          <w:b/>
        </w:rPr>
        <w:t>poten</w:t>
      </w:r>
      <w:r w:rsidR="00660010">
        <w:rPr>
          <w:b/>
        </w:rPr>
        <w:t xml:space="preserve">tial </w:t>
      </w:r>
      <w:r w:rsidR="00F71621" w:rsidRPr="00730A8C">
        <w:rPr>
          <w:b/>
        </w:rPr>
        <w:t>gaps</w:t>
      </w:r>
      <w:r w:rsidR="004C66C5">
        <w:rPr>
          <w:b/>
        </w:rPr>
        <w:t xml:space="preserve"> for </w:t>
      </w:r>
      <w:r w:rsidR="00217BB3">
        <w:rPr>
          <w:b/>
        </w:rPr>
        <w:t xml:space="preserve">activities to improve </w:t>
      </w:r>
      <w:r w:rsidR="004C66C5">
        <w:rPr>
          <w:b/>
        </w:rPr>
        <w:t>food composition</w:t>
      </w:r>
      <w:r w:rsidR="00217BB3">
        <w:rPr>
          <w:b/>
        </w:rPr>
        <w:t>.</w:t>
      </w:r>
      <w:bookmarkEnd w:id="58"/>
      <w:bookmarkEnd w:id="59"/>
      <w:bookmarkEnd w:id="60"/>
    </w:p>
    <w:bookmarkEnd w:id="61"/>
    <w:p w14:paraId="61B9711D" w14:textId="2CB2149A" w:rsidR="00A9211E" w:rsidRDefault="00A9211E" w:rsidP="00DD65F7">
      <w:pPr>
        <w:pBdr>
          <w:top w:val="single" w:sz="4" w:space="1" w:color="auto"/>
          <w:left w:val="single" w:sz="4" w:space="1" w:color="auto"/>
          <w:bottom w:val="single" w:sz="4" w:space="1" w:color="auto"/>
          <w:right w:val="single" w:sz="4" w:space="1" w:color="auto"/>
        </w:pBdr>
        <w:shd w:val="clear" w:color="auto" w:fill="D9D9D9" w:themeFill="background1" w:themeFillShade="D9"/>
      </w:pPr>
      <w:r w:rsidRPr="00DD65F7">
        <w:rPr>
          <w:u w:val="single"/>
        </w:rPr>
        <w:t>A note on the population data used in this report</w:t>
      </w:r>
      <w:r w:rsidR="00E82B8D">
        <w:rPr>
          <w:u w:val="single"/>
        </w:rPr>
        <w:t>:</w:t>
      </w:r>
      <w:r w:rsidR="00DD65F7">
        <w:t xml:space="preserve"> </w:t>
      </w:r>
      <w:r>
        <w:t xml:space="preserve">The food and nutrient consumption data in this report focus on Australians aged 2 years and over and New Zealand adults. Infants’ dietary patterns and nutrient consumption was not captured in these food and nutrient consumption data. </w:t>
      </w:r>
    </w:p>
    <w:p w14:paraId="22356058" w14:textId="1AC14F69" w:rsidR="00A9211E" w:rsidRDefault="00A9211E" w:rsidP="00DD65F7">
      <w:pPr>
        <w:pBdr>
          <w:top w:val="single" w:sz="4" w:space="1" w:color="auto"/>
          <w:left w:val="single" w:sz="4" w:space="1" w:color="auto"/>
          <w:bottom w:val="single" w:sz="4" w:space="1" w:color="auto"/>
          <w:right w:val="single" w:sz="4" w:space="1" w:color="auto"/>
        </w:pBdr>
        <w:shd w:val="clear" w:color="auto" w:fill="D9D9D9" w:themeFill="background1" w:themeFillShade="D9"/>
      </w:pPr>
      <w:r>
        <w:t>Infancy is a vulnerable time where poor dietary patterns can have life-long impacts. Healthy eating</w:t>
      </w:r>
      <w:r w:rsidR="00D003DE">
        <w:t xml:space="preserve"> in infancy and early childhood</w:t>
      </w:r>
      <w:r>
        <w:t xml:space="preserve"> is important to prevent nutrient deficiencies, provide nutrients required for healthy growth and development and to support development of healthy taste preferences and life-long health promoting eating behaviours. </w:t>
      </w:r>
    </w:p>
    <w:p w14:paraId="05DA9BC8" w14:textId="60220F61" w:rsidR="00A9211E" w:rsidRPr="00A9211E" w:rsidRDefault="00A9211E" w:rsidP="00DD65F7">
      <w:pPr>
        <w:pBdr>
          <w:top w:val="single" w:sz="4" w:space="1" w:color="auto"/>
          <w:left w:val="single" w:sz="4" w:space="1" w:color="auto"/>
          <w:bottom w:val="single" w:sz="4" w:space="1" w:color="auto"/>
          <w:right w:val="single" w:sz="4" w:space="1" w:color="auto"/>
        </w:pBdr>
        <w:shd w:val="clear" w:color="auto" w:fill="D9D9D9" w:themeFill="background1" w:themeFillShade="D9"/>
        <w:rPr>
          <w:rStyle w:val="Heading4Char"/>
          <w:rFonts w:ascii="Times New Roman" w:eastAsiaTheme="minorHAnsi" w:hAnsi="Times New Roman" w:cs="Times New Roman"/>
          <w:i w:val="0"/>
          <w:iCs w:val="0"/>
          <w:color w:val="auto"/>
        </w:rPr>
      </w:pPr>
      <w:r>
        <w:t>A separate project is underway to consider actions to improve the dietary intakes of infants and young children</w:t>
      </w:r>
      <w:r w:rsidR="00D003DE">
        <w:t>. I</w:t>
      </w:r>
      <w:r>
        <w:t xml:space="preserve">mproving food composition for foods promoted </w:t>
      </w:r>
      <w:r w:rsidR="00D003DE">
        <w:t>infants and young children</w:t>
      </w:r>
      <w:r>
        <w:t xml:space="preserve"> will be considered through that process. </w:t>
      </w:r>
    </w:p>
    <w:p w14:paraId="1C60D230" w14:textId="4C8ADA04" w:rsidR="00274CCC" w:rsidRPr="003B5E2D" w:rsidRDefault="00223743" w:rsidP="003B5E2D">
      <w:pPr>
        <w:pStyle w:val="Heading3"/>
        <w:rPr>
          <w:rStyle w:val="Heading4Char"/>
          <w:i w:val="0"/>
          <w:iCs w:val="0"/>
          <w:color w:val="1F4D78" w:themeColor="accent1" w:themeShade="7F"/>
        </w:rPr>
      </w:pPr>
      <w:bookmarkStart w:id="62" w:name="_Toc49506067"/>
      <w:bookmarkStart w:id="63" w:name="_Toc49506915"/>
      <w:bookmarkStart w:id="64" w:name="_Toc54273228"/>
      <w:r w:rsidRPr="003B5E2D">
        <w:rPr>
          <w:rStyle w:val="Heading4Char"/>
          <w:i w:val="0"/>
          <w:iCs w:val="0"/>
          <w:color w:val="1F4D78" w:themeColor="accent1" w:themeShade="7F"/>
        </w:rPr>
        <w:t>Saturated fats</w:t>
      </w:r>
      <w:bookmarkEnd w:id="62"/>
      <w:bookmarkEnd w:id="63"/>
      <w:bookmarkEnd w:id="64"/>
    </w:p>
    <w:p w14:paraId="6D3A8E97" w14:textId="7EB90A58" w:rsidR="00B7688E" w:rsidRDefault="00223743" w:rsidP="2CF3C489">
      <w:r w:rsidRPr="000D3311">
        <w:t xml:space="preserve">Dietary </w:t>
      </w:r>
      <w:r w:rsidR="007E773C">
        <w:t xml:space="preserve">advice </w:t>
      </w:r>
      <w:r w:rsidRPr="000D3311">
        <w:t>in Australia and New Zealand recommend</w:t>
      </w:r>
      <w:r w:rsidR="007E773C">
        <w:t>s</w:t>
      </w:r>
      <w:r w:rsidRPr="000D3311">
        <w:t xml:space="preserve"> limiting consumption of foods containing saturated fat</w:t>
      </w:r>
      <w:r w:rsidR="00274CCC">
        <w:t>s</w:t>
      </w:r>
      <w:r w:rsidRPr="000D3311">
        <w:t xml:space="preserve"> due to the role of saturated fat in raising blood </w:t>
      </w:r>
      <w:r>
        <w:t>LDL</w:t>
      </w:r>
      <w:r w:rsidR="007E773C">
        <w:t xml:space="preserve"> (bad) </w:t>
      </w:r>
      <w:r w:rsidRPr="000D3311">
        <w:t xml:space="preserve">cholesterol and increased risk of cardiovascular disease. </w:t>
      </w:r>
      <w:r w:rsidR="007E773C" w:rsidRPr="000D3311">
        <w:t xml:space="preserve">Replacing saturated fats with unsaturated fats </w:t>
      </w:r>
      <w:r w:rsidR="007E773C">
        <w:t xml:space="preserve">or wholegrains </w:t>
      </w:r>
      <w:r w:rsidR="007E773C" w:rsidRPr="000D3311">
        <w:t xml:space="preserve">is recommended for reducing </w:t>
      </w:r>
      <w:r w:rsidR="00C94FA6">
        <w:t>cardiovascular</w:t>
      </w:r>
      <w:r w:rsidR="007E773C">
        <w:t xml:space="preserve"> </w:t>
      </w:r>
      <w:r w:rsidR="007E773C" w:rsidRPr="000D3311">
        <w:t>disease risk</w:t>
      </w:r>
      <w:r w:rsidR="007E773C">
        <w:rPr>
          <w:rStyle w:val="FootnoteReference"/>
        </w:rPr>
        <w:footnoteReference w:id="96"/>
      </w:r>
      <w:r w:rsidR="007E773C">
        <w:t>.</w:t>
      </w:r>
      <w:r w:rsidR="007E773C" w:rsidRPr="000D3311">
        <w:t xml:space="preserve"> </w:t>
      </w:r>
      <w:r w:rsidRPr="000D3311">
        <w:t xml:space="preserve">Associations between saturated fat intake and </w:t>
      </w:r>
      <w:r w:rsidR="4A53003A">
        <w:t xml:space="preserve">an </w:t>
      </w:r>
      <w:r w:rsidRPr="000D3311">
        <w:t>increased risk of type 2 diabetes have also been observed</w:t>
      </w:r>
      <w:r w:rsidRPr="000D3311">
        <w:rPr>
          <w:rStyle w:val="FootnoteReference"/>
        </w:rPr>
        <w:footnoteReference w:id="97"/>
      </w:r>
      <w:r>
        <w:t>.</w:t>
      </w:r>
      <w:r w:rsidRPr="000D3311">
        <w:t xml:space="preserve"> </w:t>
      </w:r>
    </w:p>
    <w:p w14:paraId="0DA9167F" w14:textId="2B3A8D1F" w:rsidR="00C94FA6" w:rsidRDefault="00C94FA6" w:rsidP="00C94FA6">
      <w:r>
        <w:t xml:space="preserve">The NRVs for Australia and New Zealand </w:t>
      </w:r>
      <w:r w:rsidRPr="005C6B4F">
        <w:t>recommend a maximum of 10% energy intake from saturated fatty acids and trans fatty acids</w:t>
      </w:r>
      <w:r>
        <w:t xml:space="preserve"> combined</w:t>
      </w:r>
      <w:r w:rsidRPr="005C6B4F">
        <w:rPr>
          <w:rStyle w:val="FootnoteReference"/>
        </w:rPr>
        <w:footnoteReference w:id="98"/>
      </w:r>
      <w:r>
        <w:t xml:space="preserve"> to lower non-communicable disease risk. </w:t>
      </w:r>
    </w:p>
    <w:p w14:paraId="4B65D048" w14:textId="6579F4C0" w:rsidR="00B7688E" w:rsidRDefault="00730A8C" w:rsidP="00223743">
      <w:r>
        <w:t xml:space="preserve">In </w:t>
      </w:r>
      <w:r w:rsidR="00B7688E">
        <w:t>Australia, i</w:t>
      </w:r>
      <w:r w:rsidR="00223743">
        <w:t>n 2011</w:t>
      </w:r>
      <w:r w:rsidR="00983CE7">
        <w:t>-</w:t>
      </w:r>
      <w:r w:rsidR="00223743">
        <w:t xml:space="preserve">12 the average contribution of saturated and trans fats to total energy intake </w:t>
      </w:r>
      <w:r w:rsidR="412F671A">
        <w:t>w</w:t>
      </w:r>
      <w:r w:rsidR="00223743">
        <w:t>as 12.4% for Australians aged 2 years and over (11.8</w:t>
      </w:r>
      <w:r w:rsidR="009A4C69">
        <w:t>% from saturated fat</w:t>
      </w:r>
      <w:r w:rsidR="00223743">
        <w:t xml:space="preserve"> and 0.6% from </w:t>
      </w:r>
      <w:proofErr w:type="spellStart"/>
      <w:r w:rsidR="00223743">
        <w:t>trans fat</w:t>
      </w:r>
      <w:proofErr w:type="spellEnd"/>
      <w:r w:rsidR="00223743">
        <w:t xml:space="preserve">). </w:t>
      </w:r>
      <w:r w:rsidR="00F54E0A">
        <w:t>Saturated fat intake amongst Aborig</w:t>
      </w:r>
      <w:r w:rsidR="00F54E0A" w:rsidRPr="009A4C69">
        <w:t>inal and Torres Strait Islander people was significantly higher than non-Indigenous people.</w:t>
      </w:r>
      <w:r w:rsidR="00F54E0A">
        <w:t xml:space="preserve"> </w:t>
      </w:r>
      <w:r w:rsidR="006F29B9">
        <w:t>For Aboriginal and Torres Strait Islander people</w:t>
      </w:r>
      <w:r w:rsidR="009A4C69">
        <w:rPr>
          <w:rStyle w:val="FootnoteReference"/>
        </w:rPr>
        <w:footnoteReference w:id="99"/>
      </w:r>
      <w:r w:rsidR="006F29B9">
        <w:t xml:space="preserve">, </w:t>
      </w:r>
      <w:r w:rsidR="009A4C69">
        <w:t>in 2012/13 an average of</w:t>
      </w:r>
      <w:r w:rsidR="00187226">
        <w:t xml:space="preserve"> </w:t>
      </w:r>
      <w:r w:rsidR="006F29B9">
        <w:t>13</w:t>
      </w:r>
      <w:r w:rsidR="00187226">
        <w:t>.1</w:t>
      </w:r>
      <w:r w:rsidR="006F29B9">
        <w:t xml:space="preserve">% of energy was provided by saturated and trans fats </w:t>
      </w:r>
      <w:r w:rsidR="00187226">
        <w:t>(12.5% from saturated fats and 0.7% from trans fats)</w:t>
      </w:r>
      <w:r w:rsidR="006F29B9">
        <w:t xml:space="preserve">. </w:t>
      </w:r>
    </w:p>
    <w:p w14:paraId="1D2FD931" w14:textId="3B3FA432" w:rsidR="00223743" w:rsidRDefault="00223743" w:rsidP="00223743">
      <w:r>
        <w:t xml:space="preserve">Main sources of saturated fat in Australian’s diets were milk products and dishes (accounting 24.9% of all saturated fat consumed), cereal based products and </w:t>
      </w:r>
      <w:r w:rsidRPr="00110EB0">
        <w:t xml:space="preserve">dishes </w:t>
      </w:r>
      <w:r w:rsidR="008D6C95" w:rsidRPr="00110EB0">
        <w:t xml:space="preserve">(a very broad category including pizzas, burgers, </w:t>
      </w:r>
      <w:r w:rsidR="00A07736" w:rsidRPr="00110EB0">
        <w:t xml:space="preserve">tacos, sandwiches, </w:t>
      </w:r>
      <w:r w:rsidR="008D6C95" w:rsidRPr="00110EB0">
        <w:t xml:space="preserve">pasta dishes, cakes and muffins, sweet and </w:t>
      </w:r>
      <w:r w:rsidR="008D6C95" w:rsidRPr="00110EB0">
        <w:lastRenderedPageBreak/>
        <w:t xml:space="preserve">savoury biscuits, and sweet and savoury pastries) </w:t>
      </w:r>
      <w:r w:rsidRPr="00110EB0">
        <w:t>(24.4% of saturated</w:t>
      </w:r>
      <w:r>
        <w:t xml:space="preserve"> fat consumed) and meat</w:t>
      </w:r>
      <w:r w:rsidR="000B4F32">
        <w:t>,</w:t>
      </w:r>
      <w:r>
        <w:t xml:space="preserve"> poultry and game products and dishes (18.1%). </w:t>
      </w:r>
      <w:r w:rsidR="00A346DA">
        <w:t xml:space="preserve">For </w:t>
      </w:r>
      <w:r w:rsidR="00324437">
        <w:t>Aboriginal</w:t>
      </w:r>
      <w:r w:rsidR="00A346DA">
        <w:t xml:space="preserve"> and Torres Strait Islander people, main sources of saturated fat were </w:t>
      </w:r>
      <w:r w:rsidR="00324437">
        <w:t xml:space="preserve">the same but in a different order, with the top contributor being </w:t>
      </w:r>
      <w:r w:rsidR="00A346DA">
        <w:t>meat, poultry and game products and dishes (22.8%)</w:t>
      </w:r>
      <w:r w:rsidR="00324437">
        <w:t>, then</w:t>
      </w:r>
      <w:r w:rsidR="00A346DA">
        <w:t xml:space="preserve"> milk products and dishes (24.5%) and cereal based products and dishes (20.9%). </w:t>
      </w:r>
    </w:p>
    <w:p w14:paraId="4FABF482" w14:textId="234C10C2" w:rsidR="00223743" w:rsidRPr="00D64778" w:rsidRDefault="00B7688E" w:rsidP="00223743">
      <w:r>
        <w:t>For New Zealand, t</w:t>
      </w:r>
      <w:r w:rsidR="00223743" w:rsidRPr="00D64778">
        <w:t>he 2008</w:t>
      </w:r>
      <w:r w:rsidR="00983CE7">
        <w:t>-</w:t>
      </w:r>
      <w:r w:rsidR="00223743" w:rsidRPr="00D64778">
        <w:t>09 New Zealand Adult Nutrition Survey</w:t>
      </w:r>
      <w:r w:rsidR="00223743" w:rsidRPr="00D64778">
        <w:rPr>
          <w:rStyle w:val="FootnoteReference"/>
        </w:rPr>
        <w:footnoteReference w:id="100"/>
      </w:r>
      <w:r w:rsidR="00223743" w:rsidRPr="00D64778">
        <w:t xml:space="preserve"> found that the mean contri</w:t>
      </w:r>
      <w:r w:rsidR="00C90DAE">
        <w:t>bution of saturated fatty acids</w:t>
      </w:r>
      <w:r w:rsidR="00223743" w:rsidRPr="00D64778">
        <w:t xml:space="preserve"> to </w:t>
      </w:r>
      <w:r w:rsidR="004B0842">
        <w:t xml:space="preserve">daily energy intake was 13.1%. </w:t>
      </w:r>
      <w:r w:rsidR="00223743" w:rsidRPr="00D64778">
        <w:t>The main sources of saturated fat in the diet were:</w:t>
      </w:r>
    </w:p>
    <w:p w14:paraId="4FBD19FC" w14:textId="432BCAF4" w:rsidR="00164A00" w:rsidRDefault="00223743" w:rsidP="00223743">
      <w:pPr>
        <w:pStyle w:val="ListParagraph"/>
        <w:numPr>
          <w:ilvl w:val="0"/>
          <w:numId w:val="10"/>
        </w:numPr>
      </w:pPr>
      <w:r w:rsidRPr="00D64778">
        <w:t>Butter and margarine</w:t>
      </w:r>
      <w:r w:rsidR="00164A00">
        <w:t xml:space="preserve"> (8.5%)</w:t>
      </w:r>
    </w:p>
    <w:p w14:paraId="12CFF28D" w14:textId="0100BA2F" w:rsidR="00223743" w:rsidRPr="00D64778" w:rsidRDefault="00223743" w:rsidP="00223743">
      <w:pPr>
        <w:pStyle w:val="ListParagraph"/>
        <w:numPr>
          <w:ilvl w:val="0"/>
          <w:numId w:val="10"/>
        </w:numPr>
      </w:pPr>
      <w:r w:rsidRPr="00D64778">
        <w:t>Milk (</w:t>
      </w:r>
      <w:r w:rsidR="00164A00">
        <w:t>7.6</w:t>
      </w:r>
      <w:r w:rsidR="004B0842">
        <w:t>%),</w:t>
      </w:r>
    </w:p>
    <w:p w14:paraId="4E98BE19" w14:textId="501FFBCB" w:rsidR="00223743" w:rsidRPr="00D64778" w:rsidRDefault="00223743" w:rsidP="00223743">
      <w:pPr>
        <w:pStyle w:val="ListParagraph"/>
        <w:numPr>
          <w:ilvl w:val="0"/>
          <w:numId w:val="10"/>
        </w:numPr>
      </w:pPr>
      <w:r w:rsidRPr="00D64778">
        <w:t>Bread-based dishes</w:t>
      </w:r>
      <w:r w:rsidR="004259D1">
        <w:t xml:space="preserve"> (includes sandwiches, filled rolls, hamburgers, hotdogs, pizza, nachos, doner kebabs, wontons, spring rolls, stuffing)</w:t>
      </w:r>
      <w:r w:rsidRPr="00D64778">
        <w:t xml:space="preserve">; </w:t>
      </w:r>
      <w:r w:rsidR="000B4F32">
        <w:t>c</w:t>
      </w:r>
      <w:r w:rsidRPr="00D64778">
        <w:t xml:space="preserve">heese; and </w:t>
      </w:r>
      <w:r w:rsidR="000B4F32">
        <w:t>p</w:t>
      </w:r>
      <w:r w:rsidRPr="00D64778">
        <w:t xml:space="preserve">otatoes, kumara and taro (each </w:t>
      </w:r>
      <w:r w:rsidR="00A644B3">
        <w:t xml:space="preserve">category </w:t>
      </w:r>
      <w:r w:rsidR="00164A00">
        <w:t xml:space="preserve">approximately </w:t>
      </w:r>
      <w:r w:rsidRPr="00D64778">
        <w:t>6%)</w:t>
      </w:r>
    </w:p>
    <w:p w14:paraId="54C1ABBC" w14:textId="2A5AA0B3" w:rsidR="00223743" w:rsidRDefault="00223743" w:rsidP="00223743">
      <w:pPr>
        <w:pStyle w:val="ListParagraph"/>
        <w:numPr>
          <w:ilvl w:val="0"/>
          <w:numId w:val="10"/>
        </w:numPr>
      </w:pPr>
      <w:r>
        <w:t xml:space="preserve">Cakes and muffins; </w:t>
      </w:r>
      <w:r w:rsidR="000B4F32">
        <w:t>p</w:t>
      </w:r>
      <w:r>
        <w:t>oultry</w:t>
      </w:r>
      <w:r w:rsidR="00164A00">
        <w:t>;</w:t>
      </w:r>
      <w:r>
        <w:t xml:space="preserve"> beef and veal; and </w:t>
      </w:r>
      <w:r w:rsidR="000B4F32">
        <w:t>d</w:t>
      </w:r>
      <w:r>
        <w:t xml:space="preserve">airy products (each </w:t>
      </w:r>
      <w:r w:rsidR="0067655C">
        <w:t xml:space="preserve">approximately </w:t>
      </w:r>
      <w:r>
        <w:t>5%).</w:t>
      </w:r>
    </w:p>
    <w:p w14:paraId="51BF380F" w14:textId="4529520A" w:rsidR="73BEF76C" w:rsidRDefault="73BEF76C" w:rsidP="00B7688E">
      <w:pPr>
        <w:rPr>
          <w:rFonts w:eastAsia="Times New Roman"/>
        </w:rPr>
      </w:pPr>
      <w:r w:rsidRPr="3427A3ED">
        <w:rPr>
          <w:rFonts w:eastAsia="Times New Roman"/>
        </w:rPr>
        <w:t>Māori males and females consumed a higher mean percentage of energy from saturated fat</w:t>
      </w:r>
      <w:r w:rsidR="3DF2E5F3" w:rsidRPr="3427A3ED">
        <w:rPr>
          <w:rFonts w:eastAsia="Times New Roman"/>
        </w:rPr>
        <w:t xml:space="preserve"> (14.2%)</w:t>
      </w:r>
      <w:r w:rsidR="0BBA92A0" w:rsidRPr="3427A3ED">
        <w:rPr>
          <w:rFonts w:eastAsia="Times New Roman"/>
        </w:rPr>
        <w:t xml:space="preserve"> than non-Māori males and females, after adjusting for age</w:t>
      </w:r>
      <w:r w:rsidRPr="4F93ADCF">
        <w:rPr>
          <w:rStyle w:val="FootnoteReference"/>
          <w:rFonts w:eastAsia="Times New Roman"/>
        </w:rPr>
        <w:footnoteReference w:id="101"/>
      </w:r>
      <w:r w:rsidR="0BBA92A0" w:rsidRPr="3427A3ED">
        <w:rPr>
          <w:rFonts w:eastAsia="Times New Roman"/>
        </w:rPr>
        <w:t xml:space="preserve">. </w:t>
      </w:r>
      <w:r w:rsidR="3CEE2159" w:rsidRPr="3427A3ED">
        <w:rPr>
          <w:rFonts w:eastAsia="Times New Roman"/>
        </w:rPr>
        <w:t>There were no significant differences in saturated fat intake between Pacific and non</w:t>
      </w:r>
      <w:r w:rsidR="1F56E39A" w:rsidRPr="3427A3ED">
        <w:rPr>
          <w:rFonts w:eastAsia="Times New Roman"/>
        </w:rPr>
        <w:t>-Pacific male and females</w:t>
      </w:r>
      <w:r w:rsidRPr="4F93ADCF">
        <w:rPr>
          <w:rStyle w:val="FootnoteReference"/>
          <w:rFonts w:eastAsia="Times New Roman"/>
        </w:rPr>
        <w:footnoteReference w:id="102"/>
      </w:r>
      <w:r w:rsidR="1F56E39A" w:rsidRPr="3427A3ED">
        <w:rPr>
          <w:rFonts w:eastAsia="Times New Roman"/>
        </w:rPr>
        <w:t xml:space="preserve">. </w:t>
      </w:r>
    </w:p>
    <w:p w14:paraId="5D3D31B5" w14:textId="262D6DF3" w:rsidR="00730A8C" w:rsidRPr="00730A8C" w:rsidRDefault="00730A8C" w:rsidP="00B7688E">
      <w:pPr>
        <w:rPr>
          <w:rFonts w:asciiTheme="majorHAnsi" w:eastAsiaTheme="majorEastAsia" w:hAnsiTheme="majorHAnsi" w:cstheme="majorBidi"/>
          <w:i/>
          <w:iCs/>
          <w:color w:val="2E74B5" w:themeColor="accent1" w:themeShade="BF"/>
        </w:rPr>
      </w:pPr>
      <w:r>
        <w:t xml:space="preserve">The disease burden associated with diets high in saturated fat was not reported by the Global Burden of Disease study. </w:t>
      </w:r>
    </w:p>
    <w:p w14:paraId="2B4B4B7A" w14:textId="50CDF3F4" w:rsidR="00223743" w:rsidRPr="00453DEB" w:rsidRDefault="00743EBF" w:rsidP="00453DEB">
      <w:pPr>
        <w:pStyle w:val="Heading4"/>
      </w:pPr>
      <w:r w:rsidRPr="00453DEB">
        <w:t>Assessment</w:t>
      </w:r>
    </w:p>
    <w:p w14:paraId="41CD7077" w14:textId="0DFC4BAB" w:rsidR="007E2097" w:rsidRDefault="001574B8" w:rsidP="00223743">
      <w:r>
        <w:t>Based on the latest data available, c</w:t>
      </w:r>
      <w:r w:rsidR="00223743" w:rsidRPr="00DF791F">
        <w:t xml:space="preserve">onsumers in Australia and New Zealand are exceeding the recommended limit for consumption of saturated fat. </w:t>
      </w:r>
    </w:p>
    <w:p w14:paraId="1A47DD78" w14:textId="2FAB0BDF" w:rsidR="00223743" w:rsidRPr="00DF791F" w:rsidRDefault="00223743" w:rsidP="00223743">
      <w:r w:rsidRPr="00DF791F">
        <w:t>One of the challenges associated with reformulation or compositional limits for saturated fats is that major source</w:t>
      </w:r>
      <w:r w:rsidR="00D9093D" w:rsidRPr="00DF791F">
        <w:t>s</w:t>
      </w:r>
      <w:r w:rsidRPr="00DF791F">
        <w:t xml:space="preserve"> of saturated fats in Australia and New Zealand are from </w:t>
      </w:r>
      <w:r w:rsidR="00D9093D" w:rsidRPr="00DF791F">
        <w:t xml:space="preserve">foods which contain </w:t>
      </w:r>
      <w:r w:rsidRPr="00DF791F">
        <w:t xml:space="preserve">naturally occurring </w:t>
      </w:r>
      <w:r w:rsidR="00D9093D" w:rsidRPr="00DF791F">
        <w:t>saturated fats</w:t>
      </w:r>
      <w:r w:rsidRPr="00DF791F">
        <w:t xml:space="preserve">, </w:t>
      </w:r>
      <w:r w:rsidR="004C3BDD" w:rsidRPr="00DF791F">
        <w:t>such as meat and dairy</w:t>
      </w:r>
      <w:r w:rsidRPr="00DF791F">
        <w:t xml:space="preserve">, which </w:t>
      </w:r>
      <w:r w:rsidR="00D9093D" w:rsidRPr="00DF791F">
        <w:t>may be less suitable for</w:t>
      </w:r>
      <w:r w:rsidRPr="00DF791F">
        <w:t xml:space="preserve"> reformulat</w:t>
      </w:r>
      <w:r w:rsidR="00D9093D" w:rsidRPr="00DF791F">
        <w:t>ion</w:t>
      </w:r>
      <w:r w:rsidRPr="00DF791F">
        <w:t>. However, there is evidence that changing the diet of dairy cows can reduce the milk’s saturated fat content and increase mono and poly unsaturated fats</w:t>
      </w:r>
      <w:r w:rsidRPr="00DF791F">
        <w:rPr>
          <w:rStyle w:val="FootnoteReference"/>
        </w:rPr>
        <w:footnoteReference w:id="103"/>
      </w:r>
      <w:r w:rsidRPr="00DF791F">
        <w:t xml:space="preserve">. </w:t>
      </w:r>
    </w:p>
    <w:p w14:paraId="5B950FBB" w14:textId="417367BF" w:rsidR="00456230" w:rsidRDefault="00DF791F" w:rsidP="00DF791F">
      <w:r>
        <w:lastRenderedPageBreak/>
        <w:t xml:space="preserve">In relation to meats, </w:t>
      </w:r>
      <w:r w:rsidRPr="00DF791F">
        <w:t>Dietary Guidelines in Australia</w:t>
      </w:r>
      <w:r w:rsidR="00043266">
        <w:rPr>
          <w:rStyle w:val="FootnoteReference"/>
        </w:rPr>
        <w:footnoteReference w:id="104"/>
      </w:r>
      <w:r>
        <w:t xml:space="preserve"> recommend choosing lean meats</w:t>
      </w:r>
      <w:r w:rsidR="001574B8">
        <w:t>,</w:t>
      </w:r>
      <w:r w:rsidR="00456230">
        <w:t xml:space="preserve"> and the </w:t>
      </w:r>
      <w:r w:rsidR="00F54E0A">
        <w:t xml:space="preserve">Eating and Activity </w:t>
      </w:r>
      <w:r w:rsidR="00456230">
        <w:t>Guidelines in New Zealand</w:t>
      </w:r>
      <w:r w:rsidR="00043266">
        <w:rPr>
          <w:rStyle w:val="FootnoteReference"/>
        </w:rPr>
        <w:footnoteReference w:id="105"/>
      </w:r>
      <w:r w:rsidR="00456230">
        <w:t xml:space="preserve"> recommend </w:t>
      </w:r>
      <w:r w:rsidR="001574B8">
        <w:t xml:space="preserve">limiting red meat and </w:t>
      </w:r>
      <w:r w:rsidR="00456230">
        <w:t>removing fat from meat</w:t>
      </w:r>
      <w:r>
        <w:t xml:space="preserve">. </w:t>
      </w:r>
    </w:p>
    <w:p w14:paraId="4FABB962" w14:textId="69B1F12E" w:rsidR="00F77E04" w:rsidRDefault="00456230" w:rsidP="00DF791F">
      <w:r>
        <w:t>For dairy, the Australian Dietary Guidelines</w:t>
      </w:r>
      <w:r w:rsidR="00DF791F" w:rsidRPr="00DF791F">
        <w:t xml:space="preserve"> recommend mostly reduced fat </w:t>
      </w:r>
      <w:r>
        <w:t>milk, yoghurt and cheese</w:t>
      </w:r>
      <w:r w:rsidR="00DF791F" w:rsidRPr="00DF791F">
        <w:t xml:space="preserve"> to support the management of energy (kilojoule) intakes rather than specifically for the need to reduce saturated fat intakes. </w:t>
      </w:r>
      <w:r>
        <w:t>In New Zealand, the</w:t>
      </w:r>
      <w:r w:rsidR="00DF791F" w:rsidRPr="00DF791F">
        <w:t xml:space="preserve"> Eating and Activity Guidelines recommend consum</w:t>
      </w:r>
      <w:r>
        <w:t>ing</w:t>
      </w:r>
      <w:r w:rsidR="00DF791F" w:rsidRPr="00DF791F">
        <w:t xml:space="preserve"> low and reduced fat milk and milk products </w:t>
      </w:r>
      <w:proofErr w:type="gramStart"/>
      <w:r w:rsidR="00DF791F" w:rsidRPr="00DF791F">
        <w:t>in order to</w:t>
      </w:r>
      <w:proofErr w:type="gramEnd"/>
      <w:r w:rsidR="00DF791F" w:rsidRPr="00DF791F">
        <w:t xml:space="preserve"> reduce </w:t>
      </w:r>
      <w:r w:rsidR="0010303F">
        <w:t xml:space="preserve">both </w:t>
      </w:r>
      <w:r w:rsidR="00DF791F" w:rsidRPr="00DF791F">
        <w:t>saturated fat and total energy intake.</w:t>
      </w:r>
      <w:r w:rsidR="00DF791F">
        <w:t xml:space="preserve"> </w:t>
      </w:r>
      <w:r>
        <w:t>In both Australia and New Zealand, other dairy pr</w:t>
      </w:r>
      <w:r w:rsidR="00F54E0A">
        <w:t>oducts such as cream, ice-cream</w:t>
      </w:r>
      <w:r>
        <w:t xml:space="preserve"> and butter are not recommended for a healthy diet. </w:t>
      </w:r>
    </w:p>
    <w:p w14:paraId="1A04B86C" w14:textId="57E5EB59" w:rsidR="00DF791F" w:rsidRPr="00110EB0" w:rsidRDefault="00F77E04" w:rsidP="00DF791F">
      <w:r w:rsidRPr="00DF791F">
        <w:t>The importance of considering the food source of a nutrient, rather than the nutrient in isolation, is being increasingly recognised. In relation to dairy, there is evidence that dairy fat from cheese and yoghurt does not raise LDL</w:t>
      </w:r>
      <w:r>
        <w:t xml:space="preserve"> </w:t>
      </w:r>
      <w:r w:rsidRPr="00DF791F">
        <w:t>(bad) cholesterol to the same extent as dairy fat from butter</w:t>
      </w:r>
      <w:r w:rsidRPr="00DF791F">
        <w:rPr>
          <w:rStyle w:val="FootnoteReference"/>
        </w:rPr>
        <w:footnoteReference w:id="106"/>
      </w:r>
      <w:r w:rsidRPr="00DF791F">
        <w:t>. The Heart Foundation in Australia recently r</w:t>
      </w:r>
      <w:r>
        <w:t>eleased advice recommending</w:t>
      </w:r>
      <w:r w:rsidRPr="00DF791F">
        <w:t xml:space="preserve"> unflavoured milk, yoghurt and cheese as part of a heart healthy eating pattern for the general population. However, for people that need to reduce </w:t>
      </w:r>
      <w:r>
        <w:t xml:space="preserve">their blood </w:t>
      </w:r>
      <w:r w:rsidRPr="00DF791F">
        <w:t>cholesterol levels</w:t>
      </w:r>
      <w:r>
        <w:t>,</w:t>
      </w:r>
      <w:r w:rsidRPr="00DF791F">
        <w:t xml:space="preserve"> reduced fat milk</w:t>
      </w:r>
      <w:r>
        <w:t>,</w:t>
      </w:r>
      <w:r w:rsidRPr="00DF791F">
        <w:t xml:space="preserve"> yoghurt and cheese are </w:t>
      </w:r>
      <w:r w:rsidRPr="00110EB0">
        <w:t>recommended. Regardless of blood cholesterol status, dairy foods such as ice-cream, and butter are not recommended.</w:t>
      </w:r>
    </w:p>
    <w:p w14:paraId="62590BD0" w14:textId="6ABFF206" w:rsidR="00F54E0A" w:rsidRDefault="008D6C95" w:rsidP="00223743">
      <w:bookmarkStart w:id="65" w:name="_Hlk47951028"/>
      <w:r w:rsidRPr="00110EB0">
        <w:t>Cereal based products and dishes is a major contributor to saturated fat intakes in Australia. Th</w:t>
      </w:r>
      <w:r w:rsidR="007E2097" w:rsidRPr="00110EB0">
        <w:t xml:space="preserve">ere is work underway to </w:t>
      </w:r>
      <w:r w:rsidR="007902D7" w:rsidRPr="00110EB0">
        <w:t>reduce</w:t>
      </w:r>
      <w:r w:rsidR="00A07736" w:rsidRPr="00110EB0">
        <w:t xml:space="preserve"> major sources of saturated fat within this category </w:t>
      </w:r>
      <w:r w:rsidR="007E2097" w:rsidRPr="00110EB0">
        <w:t>t</w:t>
      </w:r>
      <w:r w:rsidRPr="00110EB0">
        <w:t>hrough voluntary reformulation and</w:t>
      </w:r>
      <w:r w:rsidR="007E2097" w:rsidRPr="00110EB0">
        <w:t xml:space="preserve"> Wave 1 reformulation targets </w:t>
      </w:r>
      <w:r w:rsidR="000E35E5" w:rsidRPr="00110EB0">
        <w:t xml:space="preserve">for saturated fat </w:t>
      </w:r>
      <w:r w:rsidR="007E2097" w:rsidRPr="00110EB0">
        <w:t>were recently endorsed in the Australian Healthy Food Partnership for pizzas, certain processed meats and pastries.</w:t>
      </w:r>
      <w:r w:rsidR="00F72A43" w:rsidRPr="00110EB0">
        <w:t xml:space="preserve"> For other food</w:t>
      </w:r>
      <w:r w:rsidR="00A644B3" w:rsidRPr="00110EB0">
        <w:t>s in this</w:t>
      </w:r>
      <w:r w:rsidR="00F72A43" w:rsidRPr="00110EB0">
        <w:t xml:space="preserve"> categor</w:t>
      </w:r>
      <w:r w:rsidR="00A644B3" w:rsidRPr="00110EB0">
        <w:t>y</w:t>
      </w:r>
      <w:r w:rsidR="00F72A43" w:rsidRPr="00110EB0">
        <w:t xml:space="preserve"> which contribut</w:t>
      </w:r>
      <w:r w:rsidR="00A644B3" w:rsidRPr="00110EB0">
        <w:t>e</w:t>
      </w:r>
      <w:r w:rsidR="00F72A43" w:rsidRPr="00110EB0">
        <w:t xml:space="preserve"> to saturated fat intakes, such as cakes, muffins, </w:t>
      </w:r>
      <w:r w:rsidR="00A644B3" w:rsidRPr="00110EB0">
        <w:t xml:space="preserve">and </w:t>
      </w:r>
      <w:r w:rsidR="00F72A43" w:rsidRPr="00110EB0">
        <w:t>sweet biscuits,</w:t>
      </w:r>
      <w:r w:rsidR="002C58AC" w:rsidRPr="00110EB0">
        <w:t xml:space="preserve"> </w:t>
      </w:r>
      <w:r w:rsidR="00F72A43" w:rsidRPr="00110EB0">
        <w:t>no targets could be established</w:t>
      </w:r>
      <w:r w:rsidR="001843EE" w:rsidRPr="00110EB0">
        <w:t xml:space="preserve"> as these foods were not well suited to reformulation</w:t>
      </w:r>
      <w:r w:rsidR="00A644B3" w:rsidRPr="00110EB0">
        <w:t>.</w:t>
      </w:r>
      <w:r w:rsidR="00F72A43" w:rsidRPr="00110EB0">
        <w:t xml:space="preserve"> </w:t>
      </w:r>
      <w:r w:rsidR="00A966B0" w:rsidRPr="00110EB0">
        <w:t>H</w:t>
      </w:r>
      <w:r w:rsidR="00F72A43" w:rsidRPr="00110EB0">
        <w:t>owever</w:t>
      </w:r>
      <w:r w:rsidR="00A966B0" w:rsidRPr="00110EB0">
        <w:t>,</w:t>
      </w:r>
      <w:r w:rsidR="00F72A43" w:rsidRPr="00110EB0">
        <w:t xml:space="preserve"> work to reduce intakes is being progressed by reducing portion sizes and education. </w:t>
      </w:r>
      <w:r w:rsidR="002C58AC" w:rsidRPr="00110EB0">
        <w:t>The New Zealand</w:t>
      </w:r>
      <w:r w:rsidR="002C58AC">
        <w:t xml:space="preserve"> Heart Foundation have recently introduced saturated fat targets </w:t>
      </w:r>
      <w:r w:rsidR="008160E0">
        <w:t xml:space="preserve">in the pie and pizza categories and are also looking to align targets with the Healthy Food Partnership. </w:t>
      </w:r>
    </w:p>
    <w:p w14:paraId="43DBFB15" w14:textId="37FAAAAC" w:rsidR="007E2097" w:rsidRPr="00110EB0" w:rsidRDefault="00F77E04" w:rsidP="00223743">
      <w:bookmarkStart w:id="66" w:name="_Hlk47951002"/>
      <w:bookmarkEnd w:id="65"/>
      <w:r>
        <w:t>T</w:t>
      </w:r>
      <w:r w:rsidR="007E2097">
        <w:t>he voluntary reformulation activities</w:t>
      </w:r>
      <w:r w:rsidR="00DA7A8A">
        <w:t xml:space="preserve"> under the Partnership focus on </w:t>
      </w:r>
      <w:r w:rsidR="007E2097">
        <w:t xml:space="preserve">products available at the supermarket, and a gap exists in relation to reformulation to reduce saturated fats in ready-to-eat products available through outlets such as bakeries and </w:t>
      </w:r>
      <w:r w:rsidR="00F54E0A">
        <w:t>fast-food/</w:t>
      </w:r>
      <w:r w:rsidR="007E2097">
        <w:t xml:space="preserve">quick-service </w:t>
      </w:r>
      <w:r w:rsidR="007E2097" w:rsidRPr="00110EB0">
        <w:t xml:space="preserve">outlets. </w:t>
      </w:r>
      <w:r w:rsidR="00BA3120" w:rsidRPr="00110EB0">
        <w:t xml:space="preserve">Many of the foods sold through these outlets fall into the category of cereal based mixed dishes such as pastries, pies, burgers, pizzas etc which are a major source of saturated fat intake. </w:t>
      </w:r>
    </w:p>
    <w:bookmarkEnd w:id="66"/>
    <w:p w14:paraId="4FD8A7BE" w14:textId="19DBFC86" w:rsidR="00F54E0A" w:rsidRPr="00110EB0" w:rsidRDefault="00F54E0A" w:rsidP="00F54E0A">
      <w:r w:rsidRPr="00110EB0">
        <w:t>In 2015-16, eating out and fast-food accounted for one-third of Australian’s food expenditure, up from 25% of food expenditure in 1988-89</w:t>
      </w:r>
      <w:r w:rsidRPr="00110EB0">
        <w:rPr>
          <w:rStyle w:val="FootnoteReference"/>
        </w:rPr>
        <w:footnoteReference w:id="107"/>
      </w:r>
      <w:r w:rsidRPr="00110EB0">
        <w:t xml:space="preserve">. In 2015-2016, 28% of New Zealand Household’s average food expenditure was spent on restaurants and ready to eat food, up </w:t>
      </w:r>
      <w:r w:rsidRPr="00110EB0">
        <w:lastRenderedPageBreak/>
        <w:t>from 25% in 2012/2013</w:t>
      </w:r>
      <w:r w:rsidRPr="00110EB0">
        <w:rPr>
          <w:rStyle w:val="FootnoteReference"/>
        </w:rPr>
        <w:footnoteReference w:id="108"/>
      </w:r>
      <w:r w:rsidRPr="00110EB0">
        <w:t>.</w:t>
      </w:r>
      <w:r w:rsidR="0010303F" w:rsidRPr="00110EB0">
        <w:t xml:space="preserve"> </w:t>
      </w:r>
      <w:r w:rsidRPr="00110EB0">
        <w:t xml:space="preserve">There </w:t>
      </w:r>
      <w:r w:rsidR="00EA2CE8" w:rsidRPr="00110EB0">
        <w:t>was</w:t>
      </w:r>
      <w:r w:rsidRPr="00110EB0">
        <w:t xml:space="preserve"> a 25% increase in spending on restaurant meals and ready-to-eat food over this period, although, in part, this </w:t>
      </w:r>
      <w:r w:rsidR="00EA2CE8" w:rsidRPr="00110EB0">
        <w:t>wa</w:t>
      </w:r>
      <w:r w:rsidRPr="00110EB0">
        <w:t xml:space="preserve">s due to increased restaurant prices. </w:t>
      </w:r>
    </w:p>
    <w:p w14:paraId="5B9470D1" w14:textId="24B10008" w:rsidR="00DA7A8A" w:rsidRPr="00110EB0" w:rsidRDefault="00DA7A8A" w:rsidP="00DA7A8A">
      <w:r w:rsidRPr="00110EB0">
        <w:t>In 2017-18, over 17 million (84.5%) Australians</w:t>
      </w:r>
      <w:r w:rsidRPr="00110EB0">
        <w:rPr>
          <w:rStyle w:val="FootnoteReference"/>
        </w:rPr>
        <w:footnoteReference w:id="109"/>
      </w:r>
      <w:r w:rsidRPr="00110EB0">
        <w:t xml:space="preserve"> and over 3.2 million (84.8%) New Zealanders</w:t>
      </w:r>
      <w:r w:rsidRPr="00110EB0">
        <w:rPr>
          <w:rStyle w:val="FootnoteReference"/>
        </w:rPr>
        <w:footnoteReference w:id="110"/>
      </w:r>
      <w:r w:rsidRPr="00110EB0">
        <w:t xml:space="preserve"> were buying or eating ready-to-eat meals and snacks from businesses such as major </w:t>
      </w:r>
      <w:proofErr w:type="gramStart"/>
      <w:r w:rsidRPr="00110EB0">
        <w:t>fast food</w:t>
      </w:r>
      <w:proofErr w:type="gramEnd"/>
      <w:r w:rsidRPr="00110EB0">
        <w:t xml:space="preserve"> outlets, independent takeaway shops, and convenience stores. In 2019, Australians averaged 65 takeaway food transactions per person, with an annual average spend of $880 per person. There </w:t>
      </w:r>
      <w:proofErr w:type="gramStart"/>
      <w:r w:rsidRPr="00110EB0">
        <w:t>were</w:t>
      </w:r>
      <w:proofErr w:type="gramEnd"/>
      <w:r w:rsidRPr="00110EB0">
        <w:t xml:space="preserve"> a total of 1.6 billion transactions</w:t>
      </w:r>
      <w:r w:rsidR="00F77E04" w:rsidRPr="00110EB0">
        <w:t xml:space="preserve"> for takeaway purchases in 2019</w:t>
      </w:r>
      <w:r w:rsidRPr="00110EB0">
        <w:rPr>
          <w:rStyle w:val="FootnoteReference"/>
        </w:rPr>
        <w:footnoteReference w:id="111"/>
      </w:r>
      <w:r w:rsidRPr="00110EB0">
        <w:t xml:space="preserve">, or 4.5 million per day. This equates to about half of Australian households having at least one person ordering takeaway food every day (note these figures include all types of takeaway purchases such as coffee, ice-creams, fish and chips, pizzas, sandwiches etc). </w:t>
      </w:r>
    </w:p>
    <w:p w14:paraId="74D54699" w14:textId="13ED2CCF" w:rsidR="00F54E0A" w:rsidRPr="00DF791F" w:rsidRDefault="00F54E0A" w:rsidP="00223743">
      <w:proofErr w:type="gramStart"/>
      <w:r w:rsidRPr="00110EB0">
        <w:t>With the exception of</w:t>
      </w:r>
      <w:proofErr w:type="gramEnd"/>
      <w:r w:rsidRPr="00110EB0">
        <w:t xml:space="preserve"> </w:t>
      </w:r>
      <w:r w:rsidR="00EA2CE8" w:rsidRPr="00110EB0">
        <w:t xml:space="preserve">mandatory </w:t>
      </w:r>
      <w:r w:rsidRPr="00110EB0">
        <w:t>menu board labelling for kilojoule content of foods in certain quick-service outlets</w:t>
      </w:r>
      <w:r w:rsidR="00EA2CE8" w:rsidRPr="00110EB0">
        <w:t xml:space="preserve"> in Australia</w:t>
      </w:r>
      <w:r w:rsidRPr="00110EB0">
        <w:t xml:space="preserve">, the fast-food/quick-service sector has not been the focus of public health nutrition or food regulatory actions. </w:t>
      </w:r>
      <w:r w:rsidR="00970D0F" w:rsidRPr="00110EB0">
        <w:t>Robust data on the energy and nutrients provided from take away and fast-food items is not available, however, t</w:t>
      </w:r>
      <w:r w:rsidRPr="00110EB0">
        <w:t>he increasing popularity of this sector warrants consideration of the healthfulness of foods sold</w:t>
      </w:r>
      <w:r>
        <w:t xml:space="preserve"> in these outlets.</w:t>
      </w:r>
      <w:r w:rsidRPr="00F54E0A">
        <w:t xml:space="preserve"> </w:t>
      </w:r>
      <w:r>
        <w:t>The quick-service restaurant sector also does not have widespread commitment to product reformulation which further justifies the need to drive reformulation in this sector.</w:t>
      </w:r>
    </w:p>
    <w:p w14:paraId="5D64BF76" w14:textId="181E7C82" w:rsidR="00C94FA6" w:rsidRPr="00453DEB" w:rsidRDefault="00CF747F" w:rsidP="00453DEB">
      <w:pPr>
        <w:pStyle w:val="Heading4"/>
        <w:rPr>
          <w:rStyle w:val="Heading4Char"/>
          <w:i/>
          <w:iCs/>
        </w:rPr>
      </w:pPr>
      <w:r w:rsidRPr="00453DEB">
        <w:rPr>
          <w:rStyle w:val="Heading4Char"/>
          <w:i/>
          <w:iCs/>
        </w:rPr>
        <w:t>Conclusion</w:t>
      </w:r>
    </w:p>
    <w:p w14:paraId="3CE7256A" w14:textId="0BC78022" w:rsidR="00CF747F" w:rsidRDefault="00F72A43" w:rsidP="3427A3ED">
      <w:pPr>
        <w:rPr>
          <w:rStyle w:val="Heading4Char"/>
          <w:rFonts w:ascii="Times New Roman" w:eastAsiaTheme="minorEastAsia" w:hAnsi="Times New Roman" w:cs="Times New Roman"/>
          <w:i w:val="0"/>
          <w:iCs w:val="0"/>
          <w:color w:val="auto"/>
        </w:rPr>
      </w:pPr>
      <w:r w:rsidRPr="00110EB0">
        <w:rPr>
          <w:rStyle w:val="Heading4Char"/>
          <w:rFonts w:ascii="Times New Roman" w:eastAsiaTheme="minorEastAsia" w:hAnsi="Times New Roman" w:cs="Times New Roman"/>
          <w:i w:val="0"/>
          <w:iCs w:val="0"/>
          <w:color w:val="auto"/>
        </w:rPr>
        <w:t>T</w:t>
      </w:r>
      <w:r w:rsidR="00333940" w:rsidRPr="00110EB0">
        <w:rPr>
          <w:rStyle w:val="Heading4Char"/>
          <w:rFonts w:ascii="Times New Roman" w:eastAsiaTheme="minorEastAsia" w:hAnsi="Times New Roman" w:cs="Times New Roman"/>
          <w:i w:val="0"/>
          <w:iCs w:val="0"/>
          <w:color w:val="auto"/>
        </w:rPr>
        <w:t>he</w:t>
      </w:r>
      <w:r w:rsidR="00456230" w:rsidRPr="00110EB0">
        <w:rPr>
          <w:rStyle w:val="Heading4Char"/>
          <w:rFonts w:ascii="Times New Roman" w:eastAsiaTheme="minorEastAsia" w:hAnsi="Times New Roman" w:cs="Times New Roman"/>
          <w:i w:val="0"/>
          <w:iCs w:val="0"/>
          <w:color w:val="auto"/>
        </w:rPr>
        <w:t xml:space="preserve"> m</w:t>
      </w:r>
      <w:r w:rsidR="00B7688E" w:rsidRPr="00110EB0">
        <w:rPr>
          <w:rStyle w:val="Heading4Char"/>
          <w:rFonts w:ascii="Times New Roman" w:eastAsiaTheme="minorEastAsia" w:hAnsi="Times New Roman" w:cs="Times New Roman"/>
          <w:i w:val="0"/>
          <w:iCs w:val="0"/>
          <w:color w:val="auto"/>
        </w:rPr>
        <w:t xml:space="preserve">ajor </w:t>
      </w:r>
      <w:r w:rsidR="004E39A1" w:rsidRPr="00110EB0">
        <w:rPr>
          <w:rStyle w:val="Heading4Char"/>
          <w:rFonts w:ascii="Times New Roman" w:eastAsiaTheme="minorEastAsia" w:hAnsi="Times New Roman" w:cs="Times New Roman"/>
          <w:i w:val="0"/>
          <w:iCs w:val="0"/>
          <w:color w:val="auto"/>
        </w:rPr>
        <w:t>sources</w:t>
      </w:r>
      <w:r w:rsidR="00B7688E" w:rsidRPr="00110EB0">
        <w:rPr>
          <w:rStyle w:val="Heading4Char"/>
          <w:rFonts w:ascii="Times New Roman" w:eastAsiaTheme="minorEastAsia" w:hAnsi="Times New Roman" w:cs="Times New Roman"/>
          <w:i w:val="0"/>
          <w:iCs w:val="0"/>
          <w:color w:val="auto"/>
        </w:rPr>
        <w:t xml:space="preserve"> of saturated fats in the diets of </w:t>
      </w:r>
      <w:r w:rsidR="004E39A1" w:rsidRPr="00110EB0">
        <w:rPr>
          <w:rStyle w:val="Heading4Char"/>
          <w:rFonts w:ascii="Times New Roman" w:eastAsiaTheme="minorEastAsia" w:hAnsi="Times New Roman" w:cs="Times New Roman"/>
          <w:i w:val="0"/>
          <w:iCs w:val="0"/>
          <w:color w:val="auto"/>
        </w:rPr>
        <w:t>Australians</w:t>
      </w:r>
      <w:r w:rsidR="00B7688E" w:rsidRPr="00110EB0">
        <w:rPr>
          <w:rStyle w:val="Heading4Char"/>
          <w:rFonts w:ascii="Times New Roman" w:eastAsiaTheme="minorEastAsia" w:hAnsi="Times New Roman" w:cs="Times New Roman"/>
          <w:i w:val="0"/>
          <w:iCs w:val="0"/>
          <w:color w:val="auto"/>
        </w:rPr>
        <w:t xml:space="preserve"> and New Zealanders are </w:t>
      </w:r>
      <w:r w:rsidR="00C93A90" w:rsidRPr="00110EB0">
        <w:rPr>
          <w:rStyle w:val="Heading4Char"/>
          <w:rFonts w:ascii="Times New Roman" w:eastAsiaTheme="minorEastAsia" w:hAnsi="Times New Roman" w:cs="Times New Roman"/>
          <w:i w:val="0"/>
          <w:iCs w:val="0"/>
          <w:color w:val="auto"/>
        </w:rPr>
        <w:t>dairy and meat</w:t>
      </w:r>
      <w:r w:rsidR="00333940" w:rsidRPr="00110EB0">
        <w:rPr>
          <w:rStyle w:val="Heading4Char"/>
          <w:rFonts w:ascii="Times New Roman" w:eastAsiaTheme="minorEastAsia" w:hAnsi="Times New Roman" w:cs="Times New Roman"/>
          <w:i w:val="0"/>
          <w:iCs w:val="0"/>
          <w:color w:val="auto"/>
        </w:rPr>
        <w:t>. Given the nature of these intrinsic saturated fats</w:t>
      </w:r>
      <w:r w:rsidR="00456230" w:rsidRPr="00110EB0">
        <w:rPr>
          <w:rStyle w:val="Heading4Char"/>
          <w:rFonts w:ascii="Times New Roman" w:eastAsiaTheme="minorEastAsia" w:hAnsi="Times New Roman" w:cs="Times New Roman"/>
          <w:i w:val="0"/>
          <w:iCs w:val="0"/>
          <w:color w:val="auto"/>
        </w:rPr>
        <w:t xml:space="preserve">, it is recommended that dietary advice to consume lean (or fat trimmed) meat and </w:t>
      </w:r>
      <w:proofErr w:type="gramStart"/>
      <w:r w:rsidR="00456230" w:rsidRPr="00110EB0">
        <w:rPr>
          <w:rStyle w:val="Heading4Char"/>
          <w:rFonts w:ascii="Times New Roman" w:eastAsiaTheme="minorEastAsia" w:hAnsi="Times New Roman" w:cs="Times New Roman"/>
          <w:i w:val="0"/>
          <w:iCs w:val="0"/>
          <w:color w:val="auto"/>
        </w:rPr>
        <w:t>low fat</w:t>
      </w:r>
      <w:proofErr w:type="gramEnd"/>
      <w:r w:rsidR="00456230" w:rsidRPr="00110EB0">
        <w:rPr>
          <w:rStyle w:val="Heading4Char"/>
          <w:rFonts w:ascii="Times New Roman" w:eastAsiaTheme="minorEastAsia" w:hAnsi="Times New Roman" w:cs="Times New Roman"/>
          <w:i w:val="0"/>
          <w:iCs w:val="0"/>
          <w:color w:val="auto"/>
        </w:rPr>
        <w:t xml:space="preserve"> milk, yoghurt and cheese is promoted, rather than pursuing </w:t>
      </w:r>
      <w:r w:rsidR="00333940" w:rsidRPr="00110EB0">
        <w:rPr>
          <w:rStyle w:val="Heading4Char"/>
          <w:rFonts w:ascii="Times New Roman" w:eastAsiaTheme="minorEastAsia" w:hAnsi="Times New Roman" w:cs="Times New Roman"/>
          <w:i w:val="0"/>
          <w:iCs w:val="0"/>
          <w:color w:val="auto"/>
        </w:rPr>
        <w:t>regulatory or non-regulatory options for improving the composition of</w:t>
      </w:r>
      <w:r w:rsidR="00456230" w:rsidRPr="00110EB0">
        <w:rPr>
          <w:rStyle w:val="Heading4Char"/>
          <w:rFonts w:ascii="Times New Roman" w:eastAsiaTheme="minorEastAsia" w:hAnsi="Times New Roman" w:cs="Times New Roman"/>
          <w:i w:val="0"/>
          <w:iCs w:val="0"/>
          <w:color w:val="auto"/>
        </w:rPr>
        <w:t xml:space="preserve"> these foods.</w:t>
      </w:r>
      <w:r w:rsidR="00456230">
        <w:rPr>
          <w:rStyle w:val="Heading4Char"/>
          <w:rFonts w:ascii="Times New Roman" w:eastAsiaTheme="minorEastAsia" w:hAnsi="Times New Roman" w:cs="Times New Roman"/>
          <w:i w:val="0"/>
          <w:iCs w:val="0"/>
          <w:color w:val="auto"/>
        </w:rPr>
        <w:t xml:space="preserve"> </w:t>
      </w:r>
    </w:p>
    <w:p w14:paraId="20246E43" w14:textId="6C884D2F" w:rsidR="000E35E5" w:rsidRDefault="000E35E5" w:rsidP="3427A3ED">
      <w:pPr>
        <w:rPr>
          <w:rStyle w:val="Heading4Char"/>
          <w:rFonts w:ascii="Times New Roman" w:eastAsiaTheme="minorEastAsia" w:hAnsi="Times New Roman" w:cs="Times New Roman"/>
          <w:i w:val="0"/>
          <w:iCs w:val="0"/>
          <w:color w:val="auto"/>
        </w:rPr>
      </w:pPr>
      <w:r>
        <w:rPr>
          <w:rStyle w:val="Heading4Char"/>
          <w:rFonts w:ascii="Times New Roman" w:eastAsiaTheme="minorEastAsia" w:hAnsi="Times New Roman" w:cs="Times New Roman"/>
          <w:i w:val="0"/>
          <w:iCs w:val="0"/>
          <w:color w:val="auto"/>
        </w:rPr>
        <w:t xml:space="preserve">Food companies can promote their products as being low or reduced fat through </w:t>
      </w:r>
      <w:r w:rsidR="00A1335E">
        <w:rPr>
          <w:rStyle w:val="Heading4Char"/>
          <w:rFonts w:ascii="Times New Roman" w:eastAsiaTheme="minorEastAsia" w:hAnsi="Times New Roman" w:cs="Times New Roman"/>
          <w:i w:val="0"/>
          <w:iCs w:val="0"/>
          <w:color w:val="auto"/>
        </w:rPr>
        <w:t xml:space="preserve">the </w:t>
      </w:r>
      <w:r>
        <w:rPr>
          <w:rStyle w:val="Heading4Char"/>
          <w:rFonts w:ascii="Times New Roman" w:eastAsiaTheme="minorEastAsia" w:hAnsi="Times New Roman" w:cs="Times New Roman"/>
          <w:i w:val="0"/>
          <w:iCs w:val="0"/>
          <w:color w:val="auto"/>
        </w:rPr>
        <w:t xml:space="preserve">nutrition content claim permissions in the Australia and New Zealand Food Standards Code. </w:t>
      </w:r>
    </w:p>
    <w:p w14:paraId="36713BE4" w14:textId="0A851028" w:rsidR="00F54E0A" w:rsidRDefault="00A1335E" w:rsidP="3427A3ED">
      <w:pPr>
        <w:rPr>
          <w:rStyle w:val="Heading4Char"/>
          <w:rFonts w:ascii="Times New Roman" w:eastAsiaTheme="minorEastAsia" w:hAnsi="Times New Roman" w:cs="Times New Roman"/>
          <w:i w:val="0"/>
          <w:iCs w:val="0"/>
          <w:color w:val="auto"/>
        </w:rPr>
      </w:pPr>
      <w:r w:rsidRPr="00110EB0">
        <w:rPr>
          <w:rStyle w:val="Heading4Char"/>
          <w:rFonts w:ascii="Times New Roman" w:eastAsiaTheme="minorEastAsia" w:hAnsi="Times New Roman" w:cs="Times New Roman"/>
          <w:i w:val="0"/>
          <w:iCs w:val="0"/>
          <w:color w:val="auto"/>
        </w:rPr>
        <w:t xml:space="preserve">In relation </w:t>
      </w:r>
      <w:r w:rsidR="00055D14" w:rsidRPr="00110EB0">
        <w:rPr>
          <w:rStyle w:val="Heading4Char"/>
          <w:rFonts w:ascii="Times New Roman" w:eastAsiaTheme="minorEastAsia" w:hAnsi="Times New Roman" w:cs="Times New Roman"/>
          <w:i w:val="0"/>
          <w:iCs w:val="0"/>
          <w:color w:val="auto"/>
        </w:rPr>
        <w:t>to</w:t>
      </w:r>
      <w:r w:rsidRPr="00110EB0">
        <w:rPr>
          <w:rStyle w:val="Heading4Char"/>
          <w:rFonts w:ascii="Times New Roman" w:eastAsiaTheme="minorEastAsia" w:hAnsi="Times New Roman" w:cs="Times New Roman"/>
          <w:i w:val="0"/>
          <w:iCs w:val="0"/>
          <w:color w:val="auto"/>
        </w:rPr>
        <w:t xml:space="preserve"> </w:t>
      </w:r>
      <w:r w:rsidR="00F72A43" w:rsidRPr="00110EB0">
        <w:rPr>
          <w:rStyle w:val="Heading4Char"/>
          <w:rFonts w:ascii="Times New Roman" w:eastAsiaTheme="minorEastAsia" w:hAnsi="Times New Roman" w:cs="Times New Roman"/>
          <w:i w:val="0"/>
          <w:iCs w:val="0"/>
          <w:color w:val="auto"/>
        </w:rPr>
        <w:t>cereal products and dishes</w:t>
      </w:r>
      <w:r w:rsidR="00BC733F" w:rsidRPr="00110EB0">
        <w:rPr>
          <w:rStyle w:val="Heading4Char"/>
          <w:rFonts w:ascii="Times New Roman" w:eastAsiaTheme="minorEastAsia" w:hAnsi="Times New Roman" w:cs="Times New Roman"/>
          <w:i w:val="0"/>
          <w:iCs w:val="0"/>
          <w:color w:val="auto"/>
        </w:rPr>
        <w:t>,</w:t>
      </w:r>
      <w:r w:rsidR="00F72A43" w:rsidRPr="00110EB0">
        <w:rPr>
          <w:rStyle w:val="Heading4Char"/>
          <w:rFonts w:ascii="Times New Roman" w:eastAsiaTheme="minorEastAsia" w:hAnsi="Times New Roman" w:cs="Times New Roman"/>
          <w:i w:val="0"/>
          <w:iCs w:val="0"/>
          <w:color w:val="auto"/>
        </w:rPr>
        <w:t xml:space="preserve"> voluntary actions to reduce saturated fat levels in pastries and pizzas </w:t>
      </w:r>
      <w:r w:rsidR="00BC733F" w:rsidRPr="00110EB0">
        <w:rPr>
          <w:rStyle w:val="Heading4Char"/>
          <w:rFonts w:ascii="Times New Roman" w:eastAsiaTheme="minorEastAsia" w:hAnsi="Times New Roman" w:cs="Times New Roman"/>
          <w:i w:val="0"/>
          <w:iCs w:val="0"/>
          <w:color w:val="auto"/>
        </w:rPr>
        <w:t>are</w:t>
      </w:r>
      <w:r w:rsidR="00F72A43" w:rsidRPr="00110EB0">
        <w:rPr>
          <w:rStyle w:val="Heading4Char"/>
          <w:rFonts w:ascii="Times New Roman" w:eastAsiaTheme="minorEastAsia" w:hAnsi="Times New Roman" w:cs="Times New Roman"/>
          <w:i w:val="0"/>
          <w:iCs w:val="0"/>
          <w:color w:val="auto"/>
        </w:rPr>
        <w:t xml:space="preserve"> underway</w:t>
      </w:r>
      <w:r w:rsidR="00F72A43">
        <w:rPr>
          <w:rStyle w:val="Heading4Char"/>
          <w:rFonts w:ascii="Times New Roman" w:eastAsiaTheme="minorEastAsia" w:hAnsi="Times New Roman" w:cs="Times New Roman"/>
          <w:i w:val="0"/>
          <w:iCs w:val="0"/>
          <w:color w:val="auto"/>
        </w:rPr>
        <w:t xml:space="preserve"> and</w:t>
      </w:r>
      <w:r>
        <w:rPr>
          <w:rStyle w:val="Heading4Char"/>
          <w:rFonts w:ascii="Times New Roman" w:eastAsiaTheme="minorEastAsia" w:hAnsi="Times New Roman" w:cs="Times New Roman"/>
          <w:i w:val="0"/>
          <w:iCs w:val="0"/>
          <w:color w:val="auto"/>
        </w:rPr>
        <w:t xml:space="preserve"> it is recommended that time be allowed for the food industry to demonstrate </w:t>
      </w:r>
      <w:r w:rsidR="00F54E0A">
        <w:rPr>
          <w:rStyle w:val="Heading4Char"/>
          <w:rFonts w:ascii="Times New Roman" w:eastAsiaTheme="minorEastAsia" w:hAnsi="Times New Roman" w:cs="Times New Roman"/>
          <w:i w:val="0"/>
          <w:iCs w:val="0"/>
          <w:color w:val="auto"/>
        </w:rPr>
        <w:t>achievements against</w:t>
      </w:r>
      <w:r>
        <w:rPr>
          <w:rStyle w:val="Heading4Char"/>
          <w:rFonts w:ascii="Times New Roman" w:eastAsiaTheme="minorEastAsia" w:hAnsi="Times New Roman" w:cs="Times New Roman"/>
          <w:i w:val="0"/>
          <w:iCs w:val="0"/>
          <w:color w:val="auto"/>
        </w:rPr>
        <w:t xml:space="preserve"> voluntary reformulation targets before </w:t>
      </w:r>
      <w:r w:rsidR="00F54E0A">
        <w:rPr>
          <w:rStyle w:val="Heading4Char"/>
          <w:rFonts w:ascii="Times New Roman" w:eastAsiaTheme="minorEastAsia" w:hAnsi="Times New Roman" w:cs="Times New Roman"/>
          <w:i w:val="0"/>
          <w:iCs w:val="0"/>
          <w:color w:val="auto"/>
        </w:rPr>
        <w:t>further options are</w:t>
      </w:r>
      <w:r>
        <w:rPr>
          <w:rStyle w:val="Heading4Char"/>
          <w:rFonts w:ascii="Times New Roman" w:eastAsiaTheme="minorEastAsia" w:hAnsi="Times New Roman" w:cs="Times New Roman"/>
          <w:i w:val="0"/>
          <w:iCs w:val="0"/>
          <w:color w:val="auto"/>
        </w:rPr>
        <w:t xml:space="preserve"> </w:t>
      </w:r>
      <w:r w:rsidR="009463FD">
        <w:rPr>
          <w:rStyle w:val="Heading4Char"/>
          <w:rFonts w:ascii="Times New Roman" w:eastAsiaTheme="minorEastAsia" w:hAnsi="Times New Roman" w:cs="Times New Roman"/>
          <w:i w:val="0"/>
          <w:iCs w:val="0"/>
          <w:color w:val="auto"/>
        </w:rPr>
        <w:t>pursued</w:t>
      </w:r>
      <w:r>
        <w:rPr>
          <w:rStyle w:val="Heading4Char"/>
          <w:rFonts w:ascii="Times New Roman" w:eastAsiaTheme="minorEastAsia" w:hAnsi="Times New Roman" w:cs="Times New Roman"/>
          <w:i w:val="0"/>
          <w:iCs w:val="0"/>
          <w:color w:val="auto"/>
        </w:rPr>
        <w:t xml:space="preserve"> for </w:t>
      </w:r>
      <w:r w:rsidR="00F54E0A">
        <w:rPr>
          <w:rStyle w:val="Heading4Char"/>
          <w:rFonts w:ascii="Times New Roman" w:eastAsiaTheme="minorEastAsia" w:hAnsi="Times New Roman" w:cs="Times New Roman"/>
          <w:i w:val="0"/>
          <w:iCs w:val="0"/>
          <w:color w:val="auto"/>
        </w:rPr>
        <w:t xml:space="preserve">saturated fat reformulation. </w:t>
      </w:r>
    </w:p>
    <w:p w14:paraId="2465B3F2" w14:textId="022FE628" w:rsidR="00A1335E" w:rsidRDefault="00A1335E" w:rsidP="3427A3ED">
      <w:pPr>
        <w:rPr>
          <w:rStyle w:val="Heading4Char"/>
          <w:rFonts w:ascii="Times New Roman" w:eastAsiaTheme="minorEastAsia" w:hAnsi="Times New Roman" w:cs="Times New Roman"/>
          <w:i w:val="0"/>
          <w:iCs w:val="0"/>
          <w:color w:val="auto"/>
        </w:rPr>
      </w:pPr>
      <w:r>
        <w:rPr>
          <w:rStyle w:val="Heading4Char"/>
          <w:rFonts w:ascii="Times New Roman" w:eastAsiaTheme="minorEastAsia" w:hAnsi="Times New Roman" w:cs="Times New Roman"/>
          <w:i w:val="0"/>
          <w:iCs w:val="0"/>
          <w:color w:val="auto"/>
        </w:rPr>
        <w:t xml:space="preserve">It is also recommended that voluntary reformulation targets be established </w:t>
      </w:r>
      <w:r w:rsidR="00C93A90">
        <w:rPr>
          <w:rStyle w:val="Heading4Char"/>
          <w:rFonts w:ascii="Times New Roman" w:eastAsiaTheme="minorEastAsia" w:hAnsi="Times New Roman" w:cs="Times New Roman"/>
          <w:i w:val="0"/>
          <w:iCs w:val="0"/>
          <w:color w:val="auto"/>
        </w:rPr>
        <w:t xml:space="preserve">for saturated fats </w:t>
      </w:r>
      <w:r w:rsidR="00C60443">
        <w:rPr>
          <w:rStyle w:val="Heading4Char"/>
          <w:rFonts w:ascii="Times New Roman" w:eastAsiaTheme="minorEastAsia" w:hAnsi="Times New Roman" w:cs="Times New Roman"/>
          <w:i w:val="0"/>
          <w:iCs w:val="0"/>
          <w:color w:val="auto"/>
        </w:rPr>
        <w:t>by</w:t>
      </w:r>
      <w:r w:rsidR="00217BB3">
        <w:rPr>
          <w:rStyle w:val="Heading4Char"/>
          <w:rFonts w:ascii="Times New Roman" w:eastAsiaTheme="minorEastAsia" w:hAnsi="Times New Roman" w:cs="Times New Roman"/>
          <w:i w:val="0"/>
          <w:iCs w:val="0"/>
          <w:color w:val="auto"/>
        </w:rPr>
        <w:t xml:space="preserve"> </w:t>
      </w:r>
      <w:r w:rsidR="00C93A90">
        <w:rPr>
          <w:rStyle w:val="Heading4Char"/>
          <w:rFonts w:ascii="Times New Roman" w:eastAsiaTheme="minorEastAsia" w:hAnsi="Times New Roman" w:cs="Times New Roman"/>
          <w:i w:val="0"/>
          <w:iCs w:val="0"/>
          <w:color w:val="auto"/>
        </w:rPr>
        <w:t xml:space="preserve">the Australian Healthy Food Partnership and in New Zealand </w:t>
      </w:r>
      <w:r w:rsidR="00C60443">
        <w:rPr>
          <w:rStyle w:val="Heading4Char"/>
          <w:rFonts w:ascii="Times New Roman" w:eastAsiaTheme="minorEastAsia" w:hAnsi="Times New Roman" w:cs="Times New Roman"/>
          <w:i w:val="0"/>
          <w:iCs w:val="0"/>
          <w:color w:val="auto"/>
        </w:rPr>
        <w:t>for</w:t>
      </w:r>
      <w:r>
        <w:rPr>
          <w:rStyle w:val="Heading4Char"/>
          <w:rFonts w:ascii="Times New Roman" w:eastAsiaTheme="minorEastAsia" w:hAnsi="Times New Roman" w:cs="Times New Roman"/>
          <w:i w:val="0"/>
          <w:iCs w:val="0"/>
          <w:color w:val="auto"/>
        </w:rPr>
        <w:t xml:space="preserve"> the </w:t>
      </w:r>
      <w:proofErr w:type="gramStart"/>
      <w:r>
        <w:rPr>
          <w:rStyle w:val="Heading4Char"/>
          <w:rFonts w:ascii="Times New Roman" w:eastAsiaTheme="minorEastAsia" w:hAnsi="Times New Roman" w:cs="Times New Roman"/>
          <w:i w:val="0"/>
          <w:iCs w:val="0"/>
          <w:color w:val="auto"/>
        </w:rPr>
        <w:t>quick-service</w:t>
      </w:r>
      <w:proofErr w:type="gramEnd"/>
      <w:r w:rsidR="00217BB3">
        <w:rPr>
          <w:rStyle w:val="Heading4Char"/>
          <w:rFonts w:ascii="Times New Roman" w:eastAsiaTheme="minorEastAsia" w:hAnsi="Times New Roman" w:cs="Times New Roman"/>
          <w:i w:val="0"/>
          <w:iCs w:val="0"/>
          <w:color w:val="auto"/>
        </w:rPr>
        <w:t>/ready to eat</w:t>
      </w:r>
      <w:r>
        <w:rPr>
          <w:rStyle w:val="Heading4Char"/>
          <w:rFonts w:ascii="Times New Roman" w:eastAsiaTheme="minorEastAsia" w:hAnsi="Times New Roman" w:cs="Times New Roman"/>
          <w:i w:val="0"/>
          <w:iCs w:val="0"/>
          <w:color w:val="auto"/>
        </w:rPr>
        <w:t xml:space="preserve"> </w:t>
      </w:r>
      <w:r w:rsidRPr="00110EB0">
        <w:rPr>
          <w:rStyle w:val="Heading4Char"/>
          <w:rFonts w:ascii="Times New Roman" w:eastAsiaTheme="minorEastAsia" w:hAnsi="Times New Roman" w:cs="Times New Roman"/>
          <w:i w:val="0"/>
          <w:iCs w:val="0"/>
          <w:color w:val="auto"/>
        </w:rPr>
        <w:t>industry</w:t>
      </w:r>
      <w:r w:rsidR="00C93A90" w:rsidRPr="00110EB0">
        <w:rPr>
          <w:rStyle w:val="Heading4Char"/>
          <w:rFonts w:ascii="Times New Roman" w:eastAsiaTheme="minorEastAsia" w:hAnsi="Times New Roman" w:cs="Times New Roman"/>
          <w:i w:val="0"/>
          <w:iCs w:val="0"/>
          <w:color w:val="auto"/>
        </w:rPr>
        <w:t>. I</w:t>
      </w:r>
      <w:r w:rsidRPr="00110EB0">
        <w:rPr>
          <w:rStyle w:val="Heading4Char"/>
          <w:rFonts w:ascii="Times New Roman" w:eastAsiaTheme="minorEastAsia" w:hAnsi="Times New Roman" w:cs="Times New Roman"/>
          <w:i w:val="0"/>
          <w:iCs w:val="0"/>
          <w:color w:val="auto"/>
        </w:rPr>
        <w:t xml:space="preserve">f </w:t>
      </w:r>
      <w:r w:rsidR="00C93A90" w:rsidRPr="00110EB0">
        <w:rPr>
          <w:rStyle w:val="Heading4Char"/>
          <w:rFonts w:ascii="Times New Roman" w:eastAsiaTheme="minorEastAsia" w:hAnsi="Times New Roman" w:cs="Times New Roman"/>
          <w:i w:val="0"/>
          <w:iCs w:val="0"/>
          <w:color w:val="auto"/>
        </w:rPr>
        <w:t xml:space="preserve">industry engagement is lacking, or </w:t>
      </w:r>
      <w:r w:rsidRPr="00110EB0">
        <w:rPr>
          <w:rStyle w:val="Heading4Char"/>
          <w:rFonts w:ascii="Times New Roman" w:eastAsiaTheme="minorEastAsia" w:hAnsi="Times New Roman" w:cs="Times New Roman"/>
          <w:i w:val="0"/>
          <w:iCs w:val="0"/>
          <w:color w:val="auto"/>
        </w:rPr>
        <w:t>sufficient progress is not achieved</w:t>
      </w:r>
      <w:r w:rsidR="00C93A90" w:rsidRPr="00110EB0">
        <w:rPr>
          <w:rStyle w:val="Heading4Char"/>
          <w:rFonts w:ascii="Times New Roman" w:eastAsiaTheme="minorEastAsia" w:hAnsi="Times New Roman" w:cs="Times New Roman"/>
          <w:i w:val="0"/>
          <w:iCs w:val="0"/>
          <w:color w:val="auto"/>
        </w:rPr>
        <w:t xml:space="preserve"> against the voluntary reformulation targets</w:t>
      </w:r>
      <w:r w:rsidRPr="00110EB0">
        <w:rPr>
          <w:rStyle w:val="Heading4Char"/>
          <w:rFonts w:ascii="Times New Roman" w:eastAsiaTheme="minorEastAsia" w:hAnsi="Times New Roman" w:cs="Times New Roman"/>
          <w:i w:val="0"/>
          <w:iCs w:val="0"/>
          <w:color w:val="auto"/>
        </w:rPr>
        <w:t>,</w:t>
      </w:r>
      <w:r w:rsidR="00C93A90" w:rsidRPr="00110EB0">
        <w:rPr>
          <w:rStyle w:val="Heading4Char"/>
          <w:rFonts w:ascii="Times New Roman" w:eastAsiaTheme="minorEastAsia" w:hAnsi="Times New Roman" w:cs="Times New Roman"/>
          <w:i w:val="0"/>
          <w:iCs w:val="0"/>
          <w:color w:val="auto"/>
        </w:rPr>
        <w:t xml:space="preserve"> </w:t>
      </w:r>
      <w:r w:rsidRPr="00110EB0">
        <w:rPr>
          <w:rStyle w:val="Heading4Char"/>
          <w:rFonts w:ascii="Times New Roman" w:eastAsiaTheme="minorEastAsia" w:hAnsi="Times New Roman" w:cs="Times New Roman"/>
          <w:i w:val="0"/>
          <w:iCs w:val="0"/>
          <w:color w:val="auto"/>
        </w:rPr>
        <w:t xml:space="preserve">then </w:t>
      </w:r>
      <w:r w:rsidR="00F54E0A" w:rsidRPr="00110EB0">
        <w:rPr>
          <w:rStyle w:val="Heading4Char"/>
          <w:rFonts w:ascii="Times New Roman" w:eastAsiaTheme="minorEastAsia" w:hAnsi="Times New Roman" w:cs="Times New Roman"/>
          <w:i w:val="0"/>
          <w:iCs w:val="0"/>
          <w:color w:val="auto"/>
        </w:rPr>
        <w:t xml:space="preserve">further options such as </w:t>
      </w:r>
      <w:r w:rsidRPr="00110EB0">
        <w:rPr>
          <w:rStyle w:val="Heading4Char"/>
          <w:rFonts w:ascii="Times New Roman" w:eastAsiaTheme="minorEastAsia" w:hAnsi="Times New Roman" w:cs="Times New Roman"/>
          <w:i w:val="0"/>
          <w:iCs w:val="0"/>
          <w:color w:val="auto"/>
        </w:rPr>
        <w:t>compositional limits for saturated fats cou</w:t>
      </w:r>
      <w:r w:rsidR="004154F2" w:rsidRPr="00110EB0">
        <w:rPr>
          <w:rStyle w:val="Heading4Char"/>
          <w:rFonts w:ascii="Times New Roman" w:eastAsiaTheme="minorEastAsia" w:hAnsi="Times New Roman" w:cs="Times New Roman"/>
          <w:i w:val="0"/>
          <w:iCs w:val="0"/>
          <w:color w:val="auto"/>
        </w:rPr>
        <w:t>l</w:t>
      </w:r>
      <w:r w:rsidRPr="00110EB0">
        <w:rPr>
          <w:rStyle w:val="Heading4Char"/>
          <w:rFonts w:ascii="Times New Roman" w:eastAsiaTheme="minorEastAsia" w:hAnsi="Times New Roman" w:cs="Times New Roman"/>
          <w:i w:val="0"/>
          <w:iCs w:val="0"/>
          <w:color w:val="auto"/>
        </w:rPr>
        <w:t xml:space="preserve">d also be </w:t>
      </w:r>
      <w:r w:rsidR="00CB0796" w:rsidRPr="00110EB0">
        <w:rPr>
          <w:rStyle w:val="Heading4Char"/>
          <w:rFonts w:ascii="Times New Roman" w:eastAsiaTheme="minorEastAsia" w:hAnsi="Times New Roman" w:cs="Times New Roman"/>
          <w:i w:val="0"/>
          <w:iCs w:val="0"/>
          <w:color w:val="auto"/>
        </w:rPr>
        <w:t>pursued</w:t>
      </w:r>
      <w:r w:rsidRPr="00110EB0">
        <w:rPr>
          <w:rStyle w:val="Heading4Char"/>
          <w:rFonts w:ascii="Times New Roman" w:eastAsiaTheme="minorEastAsia" w:hAnsi="Times New Roman" w:cs="Times New Roman"/>
          <w:i w:val="0"/>
          <w:iCs w:val="0"/>
          <w:color w:val="auto"/>
        </w:rPr>
        <w:t xml:space="preserve"> in th</w:t>
      </w:r>
      <w:r w:rsidR="00D74A3F" w:rsidRPr="00110EB0">
        <w:rPr>
          <w:rStyle w:val="Heading4Char"/>
          <w:rFonts w:ascii="Times New Roman" w:eastAsiaTheme="minorEastAsia" w:hAnsi="Times New Roman" w:cs="Times New Roman"/>
          <w:i w:val="0"/>
          <w:iCs w:val="0"/>
          <w:color w:val="auto"/>
        </w:rPr>
        <w:t>e</w:t>
      </w:r>
      <w:r w:rsidRPr="00110EB0">
        <w:rPr>
          <w:rStyle w:val="Heading4Char"/>
          <w:rFonts w:ascii="Times New Roman" w:eastAsiaTheme="minorEastAsia" w:hAnsi="Times New Roman" w:cs="Times New Roman"/>
          <w:i w:val="0"/>
          <w:iCs w:val="0"/>
          <w:color w:val="auto"/>
        </w:rPr>
        <w:t>s</w:t>
      </w:r>
      <w:r w:rsidR="00D74A3F" w:rsidRPr="00110EB0">
        <w:rPr>
          <w:rStyle w:val="Heading4Char"/>
          <w:rFonts w:ascii="Times New Roman" w:eastAsiaTheme="minorEastAsia" w:hAnsi="Times New Roman" w:cs="Times New Roman"/>
          <w:i w:val="0"/>
          <w:iCs w:val="0"/>
          <w:color w:val="auto"/>
        </w:rPr>
        <w:t>e</w:t>
      </w:r>
      <w:r w:rsidRPr="00110EB0">
        <w:rPr>
          <w:rStyle w:val="Heading4Char"/>
          <w:rFonts w:ascii="Times New Roman" w:eastAsiaTheme="minorEastAsia" w:hAnsi="Times New Roman" w:cs="Times New Roman"/>
          <w:i w:val="0"/>
          <w:iCs w:val="0"/>
          <w:color w:val="auto"/>
        </w:rPr>
        <w:t xml:space="preserve"> industry sector</w:t>
      </w:r>
      <w:r w:rsidR="00D74A3F" w:rsidRPr="00110EB0">
        <w:rPr>
          <w:rStyle w:val="Heading4Char"/>
          <w:rFonts w:ascii="Times New Roman" w:eastAsiaTheme="minorEastAsia" w:hAnsi="Times New Roman" w:cs="Times New Roman"/>
          <w:i w:val="0"/>
          <w:iCs w:val="0"/>
          <w:color w:val="auto"/>
        </w:rPr>
        <w:t>s</w:t>
      </w:r>
      <w:r w:rsidRPr="00110EB0">
        <w:rPr>
          <w:rStyle w:val="Heading4Char"/>
          <w:rFonts w:ascii="Times New Roman" w:eastAsiaTheme="minorEastAsia" w:hAnsi="Times New Roman" w:cs="Times New Roman"/>
          <w:i w:val="0"/>
          <w:iCs w:val="0"/>
          <w:color w:val="auto"/>
        </w:rPr>
        <w:t xml:space="preserve">. </w:t>
      </w:r>
      <w:r w:rsidR="00BA3120" w:rsidRPr="00110EB0">
        <w:rPr>
          <w:rStyle w:val="Heading4Char"/>
          <w:rFonts w:ascii="Times New Roman" w:eastAsiaTheme="minorEastAsia" w:hAnsi="Times New Roman" w:cs="Times New Roman"/>
          <w:i w:val="0"/>
          <w:iCs w:val="0"/>
          <w:color w:val="auto"/>
        </w:rPr>
        <w:t xml:space="preserve">It is recommended that </w:t>
      </w:r>
      <w:r w:rsidR="00BA3120" w:rsidRPr="00110EB0">
        <w:rPr>
          <w:rStyle w:val="Heading4Char"/>
          <w:rFonts w:ascii="Times New Roman" w:eastAsiaTheme="minorEastAsia" w:hAnsi="Times New Roman" w:cs="Times New Roman"/>
          <w:i w:val="0"/>
          <w:iCs w:val="0"/>
          <w:color w:val="auto"/>
        </w:rPr>
        <w:lastRenderedPageBreak/>
        <w:t xml:space="preserve">progress against reformulation targets be assessed in 2 years to determine whether industry is on track to achieve the targets or whether there are </w:t>
      </w:r>
      <w:proofErr w:type="gramStart"/>
      <w:r w:rsidR="00BA3120" w:rsidRPr="00110EB0">
        <w:rPr>
          <w:rStyle w:val="Heading4Char"/>
          <w:rFonts w:ascii="Times New Roman" w:eastAsiaTheme="minorEastAsia" w:hAnsi="Times New Roman" w:cs="Times New Roman"/>
          <w:i w:val="0"/>
          <w:iCs w:val="0"/>
          <w:color w:val="auto"/>
        </w:rPr>
        <w:t>particular product</w:t>
      </w:r>
      <w:proofErr w:type="gramEnd"/>
      <w:r w:rsidR="00BA3120" w:rsidRPr="00110EB0">
        <w:rPr>
          <w:rStyle w:val="Heading4Char"/>
          <w:rFonts w:ascii="Times New Roman" w:eastAsiaTheme="minorEastAsia" w:hAnsi="Times New Roman" w:cs="Times New Roman"/>
          <w:i w:val="0"/>
          <w:iCs w:val="0"/>
          <w:color w:val="auto"/>
        </w:rPr>
        <w:t xml:space="preserve"> categories </w:t>
      </w:r>
      <w:r w:rsidR="00CC07EE" w:rsidRPr="00110EB0">
        <w:rPr>
          <w:rStyle w:val="Heading4Char"/>
          <w:rFonts w:ascii="Times New Roman" w:eastAsiaTheme="minorEastAsia" w:hAnsi="Times New Roman" w:cs="Times New Roman"/>
          <w:i w:val="0"/>
          <w:iCs w:val="0"/>
          <w:color w:val="auto"/>
        </w:rPr>
        <w:t xml:space="preserve">where the industry response </w:t>
      </w:r>
      <w:r w:rsidR="004B0842">
        <w:rPr>
          <w:rStyle w:val="Heading4Char"/>
          <w:rFonts w:ascii="Times New Roman" w:eastAsiaTheme="minorEastAsia" w:hAnsi="Times New Roman" w:cs="Times New Roman"/>
          <w:i w:val="0"/>
          <w:iCs w:val="0"/>
          <w:color w:val="auto"/>
        </w:rPr>
        <w:t>is insufficient or ineffective.</w:t>
      </w:r>
    </w:p>
    <w:p w14:paraId="01EBC942" w14:textId="6B807324" w:rsidR="00FF5C9C" w:rsidRPr="003B5E2D" w:rsidRDefault="00FC7ED5" w:rsidP="003B5E2D">
      <w:pPr>
        <w:pStyle w:val="Heading3"/>
      </w:pPr>
      <w:bookmarkStart w:id="67" w:name="_Toc49506068"/>
      <w:bookmarkStart w:id="68" w:name="_Toc49506916"/>
      <w:bookmarkStart w:id="69" w:name="_Toc54273229"/>
      <w:r w:rsidRPr="003B5E2D">
        <w:rPr>
          <w:rStyle w:val="Heading4Char"/>
          <w:i w:val="0"/>
          <w:iCs w:val="0"/>
          <w:color w:val="1F4D78" w:themeColor="accent1" w:themeShade="7F"/>
        </w:rPr>
        <w:t>Trans fats</w:t>
      </w:r>
      <w:bookmarkEnd w:id="67"/>
      <w:bookmarkEnd w:id="68"/>
      <w:bookmarkEnd w:id="69"/>
    </w:p>
    <w:p w14:paraId="4D9490C3" w14:textId="2743CC35" w:rsidR="00B45D11" w:rsidRDefault="00B45D11" w:rsidP="4F93ADCF">
      <w:r>
        <w:t xml:space="preserve">Trans fats are produced through hydrogenation of </w:t>
      </w:r>
      <w:r w:rsidR="00C74439">
        <w:t>unsaturated</w:t>
      </w:r>
      <w:r>
        <w:t xml:space="preserve"> oils during manuf</w:t>
      </w:r>
      <w:r w:rsidR="00C74439">
        <w:t>acturing</w:t>
      </w:r>
      <w:r>
        <w:t xml:space="preserve"> processes </w:t>
      </w:r>
      <w:proofErr w:type="gramStart"/>
      <w:r>
        <w:t>and also</w:t>
      </w:r>
      <w:proofErr w:type="gramEnd"/>
      <w:r>
        <w:t xml:space="preserve"> occur naturally in small amounts in some ruminant </w:t>
      </w:r>
      <w:r w:rsidR="003D3DEC">
        <w:t xml:space="preserve">(animal) </w:t>
      </w:r>
      <w:r>
        <w:t xml:space="preserve">products. Trans fats are a concern as they elevate the body’s levels of LDL (bad) cholesterol and </w:t>
      </w:r>
      <w:r w:rsidR="00C74439">
        <w:t xml:space="preserve">reduce HDL (good) </w:t>
      </w:r>
      <w:r w:rsidR="005618A5">
        <w:t>cholesterol</w:t>
      </w:r>
      <w:r>
        <w:t xml:space="preserve">. </w:t>
      </w:r>
      <w:r w:rsidR="00C74439">
        <w:t xml:space="preserve">Trans fats have a more adverse effect on </w:t>
      </w:r>
      <w:r w:rsidR="00D00399">
        <w:t xml:space="preserve">the </w:t>
      </w:r>
      <w:r w:rsidR="00C74439">
        <w:t>risk of cardiovascular disease compared to saturated fats</w:t>
      </w:r>
      <w:r w:rsidR="00C74439" w:rsidRPr="00FF5C9C">
        <w:rPr>
          <w:rStyle w:val="FootnoteReference"/>
        </w:rPr>
        <w:footnoteReference w:id="112"/>
      </w:r>
      <w:r w:rsidR="00FF5C9C" w:rsidRPr="00FF5C9C">
        <w:rPr>
          <w:vertAlign w:val="superscript"/>
        </w:rPr>
        <w:t>,</w:t>
      </w:r>
      <w:r w:rsidR="00FF5C9C">
        <w:rPr>
          <w:rStyle w:val="FootnoteReference"/>
        </w:rPr>
        <w:footnoteReference w:id="113"/>
      </w:r>
      <w:r w:rsidR="7476B26E">
        <w:t xml:space="preserve">and </w:t>
      </w:r>
      <w:r w:rsidR="7030B9E1">
        <w:t>there are clear associations between intake of trans fats and cardiovascular mortality</w:t>
      </w:r>
      <w:r w:rsidRPr="4F93ADCF">
        <w:rPr>
          <w:rStyle w:val="FootnoteReference"/>
        </w:rPr>
        <w:footnoteReference w:id="114"/>
      </w:r>
      <w:r w:rsidR="32A1BF1E" w:rsidRPr="3427A3ED">
        <w:rPr>
          <w:vertAlign w:val="superscript"/>
        </w:rPr>
        <w:t>,</w:t>
      </w:r>
      <w:r w:rsidRPr="4F93ADCF">
        <w:rPr>
          <w:rStyle w:val="FootnoteReference"/>
        </w:rPr>
        <w:footnoteReference w:id="115"/>
      </w:r>
      <w:r w:rsidR="32A1BF1E" w:rsidRPr="3427A3ED">
        <w:rPr>
          <w:vertAlign w:val="superscript"/>
        </w:rPr>
        <w:t>,</w:t>
      </w:r>
      <w:r w:rsidRPr="4F93ADCF">
        <w:rPr>
          <w:rStyle w:val="FootnoteReference"/>
        </w:rPr>
        <w:footnoteReference w:id="116"/>
      </w:r>
      <w:r w:rsidR="7030B9E1">
        <w:t>.</w:t>
      </w:r>
      <w:r w:rsidR="00C74439" w:rsidDel="00B45D11">
        <w:t xml:space="preserve">To reduce </w:t>
      </w:r>
      <w:r w:rsidR="00352D13">
        <w:t>heart disease risk,</w:t>
      </w:r>
      <w:r w:rsidR="00A93C4D">
        <w:t xml:space="preserve"> </w:t>
      </w:r>
      <w:r w:rsidR="00FC7ED5">
        <w:t>the WHO</w:t>
      </w:r>
      <w:r w:rsidR="00652EF8">
        <w:rPr>
          <w:rStyle w:val="FootnoteReference"/>
        </w:rPr>
        <w:footnoteReference w:id="117"/>
      </w:r>
      <w:r w:rsidR="00FC7ED5">
        <w:t xml:space="preserve"> recommends </w:t>
      </w:r>
      <w:r w:rsidR="009525AE">
        <w:t xml:space="preserve">that </w:t>
      </w:r>
      <w:r w:rsidR="00FC7ED5">
        <w:t>no more than 1% of total ener</w:t>
      </w:r>
      <w:r w:rsidR="00352D13">
        <w:t xml:space="preserve">gy intake </w:t>
      </w:r>
      <w:r w:rsidR="009525AE">
        <w:t xml:space="preserve">should </w:t>
      </w:r>
      <w:r w:rsidR="00352D13">
        <w:t xml:space="preserve">come from trans fats, and </w:t>
      </w:r>
      <w:r w:rsidR="009525AE">
        <w:t xml:space="preserve">trans fats should be replaced </w:t>
      </w:r>
      <w:r w:rsidR="00352D13">
        <w:t xml:space="preserve">with unsaturated fats. </w:t>
      </w:r>
    </w:p>
    <w:p w14:paraId="22E60997" w14:textId="1F8F3CAD" w:rsidR="001D2369" w:rsidRDefault="001D2369" w:rsidP="001D2369">
      <w:r>
        <w:t xml:space="preserve">Diets high in trans fats </w:t>
      </w:r>
      <w:r w:rsidR="00652EF8">
        <w:t>accounted for</w:t>
      </w:r>
      <w:r w:rsidR="00184736">
        <w:t xml:space="preserve"> 0.2</w:t>
      </w:r>
      <w:r>
        <w:t>% of the burden of disease in</w:t>
      </w:r>
      <w:r w:rsidR="00184736">
        <w:t xml:space="preserve"> Australia and 0.2</w:t>
      </w:r>
      <w:r>
        <w:t xml:space="preserve">% </w:t>
      </w:r>
      <w:r w:rsidR="370FA772">
        <w:t>in</w:t>
      </w:r>
      <w:r>
        <w:t xml:space="preserve"> New Zealand in 2017</w:t>
      </w:r>
      <w:r>
        <w:rPr>
          <w:rStyle w:val="FootnoteReference"/>
        </w:rPr>
        <w:footnoteReference w:id="118"/>
      </w:r>
      <w:r>
        <w:t xml:space="preserve">. In terms of deaths, diets high in trans fats </w:t>
      </w:r>
      <w:r w:rsidR="00652EF8">
        <w:t xml:space="preserve">have been </w:t>
      </w:r>
      <w:r w:rsidR="00184736">
        <w:t>attributed to 0.</w:t>
      </w:r>
      <w:r>
        <w:t>5% of t</w:t>
      </w:r>
      <w:r w:rsidR="00184736">
        <w:t>otal deaths in Australia and 0.4</w:t>
      </w:r>
      <w:r>
        <w:t xml:space="preserve">% in New Zealand in 2017. </w:t>
      </w:r>
    </w:p>
    <w:p w14:paraId="04CA639F" w14:textId="362CB989" w:rsidR="00E15D8E" w:rsidRDefault="0024690C" w:rsidP="4F93ADCF">
      <w:r>
        <w:t xml:space="preserve">Non-regulatory efforts to work with food industry to expand voluntary efforts to reduce </w:t>
      </w:r>
      <w:proofErr w:type="spellStart"/>
      <w:r>
        <w:t>trans fat</w:t>
      </w:r>
      <w:proofErr w:type="spellEnd"/>
      <w:r>
        <w:t xml:space="preserve"> in the food supply were established in 2006. </w:t>
      </w:r>
      <w:r w:rsidR="0074430D" w:rsidRPr="00803785">
        <w:t xml:space="preserve">In 2009, </w:t>
      </w:r>
      <w:r w:rsidR="0074430D">
        <w:t>FSANZ</w:t>
      </w:r>
      <w:r w:rsidR="0074430D" w:rsidRPr="00803785">
        <w:rPr>
          <w:rStyle w:val="FootnoteReference"/>
        </w:rPr>
        <w:footnoteReference w:id="119"/>
      </w:r>
      <w:r w:rsidR="0074430D">
        <w:t xml:space="preserve"> </w:t>
      </w:r>
      <w:r w:rsidR="009525AE">
        <w:t xml:space="preserve">assessed whether non-regulatory measures to reduce trans fats in the Australian and New Zealand food supply had been </w:t>
      </w:r>
      <w:r w:rsidR="00E15D8E">
        <w:t>effective</w:t>
      </w:r>
      <w:r w:rsidR="009525AE">
        <w:t xml:space="preserve"> in reducing intakes of trans fats.</w:t>
      </w:r>
      <w:r w:rsidR="009525AE" w:rsidDel="00E21EA4">
        <w:t xml:space="preserve"> </w:t>
      </w:r>
      <w:r w:rsidR="009525AE">
        <w:t xml:space="preserve">FSANZ </w:t>
      </w:r>
      <w:r w:rsidR="0074430D" w:rsidRPr="00803785">
        <w:t>estimated more than 85% of New Zealanders and 90% of Austral</w:t>
      </w:r>
      <w:r w:rsidR="00E15D8E">
        <w:t>ians ha</w:t>
      </w:r>
      <w:r w:rsidR="009C2B01">
        <w:t>d</w:t>
      </w:r>
      <w:r w:rsidR="00E15D8E">
        <w:t xml:space="preserve"> </w:t>
      </w:r>
      <w:proofErr w:type="spellStart"/>
      <w:r w:rsidR="00E15D8E">
        <w:t>trans fat</w:t>
      </w:r>
      <w:proofErr w:type="spellEnd"/>
      <w:r w:rsidR="0074430D" w:rsidRPr="00803785">
        <w:t xml:space="preserve"> intakes below the WHO recommendation of 1% of </w:t>
      </w:r>
      <w:r w:rsidR="009525AE">
        <w:t xml:space="preserve">total </w:t>
      </w:r>
      <w:r w:rsidR="0074430D" w:rsidRPr="00803785">
        <w:t>energy</w:t>
      </w:r>
      <w:r w:rsidR="009525AE">
        <w:t xml:space="preserve"> intake</w:t>
      </w:r>
      <w:r w:rsidR="0074430D" w:rsidRPr="00803785">
        <w:t>. The higher intakes for New Zealanders reflect</w:t>
      </w:r>
      <w:r w:rsidR="009C2B01">
        <w:t>ed</w:t>
      </w:r>
      <w:r w:rsidR="0074430D" w:rsidRPr="00803785">
        <w:t xml:space="preserve"> both higher manufactured trans fatty acid intakes as well as higher intake of ruminant trans fatty acids. In both countries, for adults as well as children, ruminant trans fatty acids </w:t>
      </w:r>
      <w:r w:rsidR="009C2B01">
        <w:t>were</w:t>
      </w:r>
      <w:r w:rsidR="009C2B01" w:rsidRPr="00803785">
        <w:t xml:space="preserve"> </w:t>
      </w:r>
      <w:r w:rsidR="0074430D" w:rsidRPr="00803785">
        <w:t>the dominant source in the diet, representing 60 to 75% of total trans fatty acid intake.</w:t>
      </w:r>
      <w:r w:rsidR="0662C881">
        <w:t xml:space="preserve"> </w:t>
      </w:r>
    </w:p>
    <w:p w14:paraId="78DAD8D1" w14:textId="432D0EF3" w:rsidR="005967AB" w:rsidRDefault="7AC82A7C" w:rsidP="005967AB">
      <w:r>
        <w:lastRenderedPageBreak/>
        <w:t xml:space="preserve">FSANZ recommended </w:t>
      </w:r>
      <w:r w:rsidR="374D005C">
        <w:t>continu</w:t>
      </w:r>
      <w:r w:rsidR="00E15D8E">
        <w:t>ing</w:t>
      </w:r>
      <w:r w:rsidR="2B1959D5">
        <w:t xml:space="preserve"> non-</w:t>
      </w:r>
      <w:r w:rsidR="01BCB7C0">
        <w:t>regulatory</w:t>
      </w:r>
      <w:r w:rsidR="2B1959D5">
        <w:t xml:space="preserve"> measures</w:t>
      </w:r>
      <w:r w:rsidR="08D64E67">
        <w:t xml:space="preserve"> to reduce</w:t>
      </w:r>
      <w:r>
        <w:t xml:space="preserve"> trans</w:t>
      </w:r>
      <w:r w:rsidR="745A7D38">
        <w:t xml:space="preserve"> </w:t>
      </w:r>
      <w:r w:rsidR="00652EF8">
        <w:t>fats</w:t>
      </w:r>
      <w:r w:rsidR="34EC6F19">
        <w:t xml:space="preserve"> in the food supply</w:t>
      </w:r>
      <w:r w:rsidR="418713D6">
        <w:t xml:space="preserve">. </w:t>
      </w:r>
      <w:r w:rsidR="6FD6785F">
        <w:t>This recommendation was based on evidence</w:t>
      </w:r>
      <w:r w:rsidR="4EDDF18F">
        <w:t xml:space="preserve"> of the effectiveness of non-regulatory approach</w:t>
      </w:r>
      <w:r w:rsidR="009525AE">
        <w:t xml:space="preserve">es in leading to </w:t>
      </w:r>
      <w:r w:rsidR="4EDDF18F">
        <w:t xml:space="preserve">a decline </w:t>
      </w:r>
      <w:r w:rsidR="6CCE49B4">
        <w:t xml:space="preserve">in intakes </w:t>
      </w:r>
      <w:r w:rsidR="00652EF8">
        <w:t xml:space="preserve">of trans fats </w:t>
      </w:r>
      <w:r w:rsidR="6CCE49B4">
        <w:t>from manufactured sources in both Australia and New Zealand, and</w:t>
      </w:r>
      <w:r w:rsidR="003A0270">
        <w:t xml:space="preserve"> that</w:t>
      </w:r>
      <w:r w:rsidR="6CCE49B4">
        <w:t xml:space="preserve"> mean</w:t>
      </w:r>
      <w:r w:rsidR="009525AE">
        <w:t xml:space="preserve"> consumption of</w:t>
      </w:r>
      <w:r w:rsidR="6CCE49B4">
        <w:t xml:space="preserve"> trans fat</w:t>
      </w:r>
      <w:r w:rsidR="009525AE">
        <w:t xml:space="preserve">s in the </w:t>
      </w:r>
      <w:r w:rsidR="33E5FB03">
        <w:t>Australian and New Zealand population</w:t>
      </w:r>
      <w:r w:rsidR="009525AE">
        <w:t>s</w:t>
      </w:r>
      <w:r w:rsidR="33E5FB03">
        <w:t xml:space="preserve"> </w:t>
      </w:r>
      <w:r w:rsidR="005967AB">
        <w:t>was within</w:t>
      </w:r>
      <w:r w:rsidR="33E5FB03">
        <w:t xml:space="preserve"> WHO </w:t>
      </w:r>
      <w:r w:rsidR="009525AE">
        <w:t>recommendations</w:t>
      </w:r>
      <w:r w:rsidR="33E5FB03">
        <w:t xml:space="preserve">. </w:t>
      </w:r>
      <w:r w:rsidR="006F7DE4">
        <w:t>FSANZ</w:t>
      </w:r>
      <w:r w:rsidR="003A0270">
        <w:t xml:space="preserve"> </w:t>
      </w:r>
      <w:r w:rsidR="005B63A4">
        <w:t>also</w:t>
      </w:r>
      <w:r w:rsidR="003A0270">
        <w:t xml:space="preserve"> concluded</w:t>
      </w:r>
      <w:r w:rsidR="53C01B76">
        <w:t xml:space="preserve"> that saturated fat intakes are the more important concern for risk of heart disease as the </w:t>
      </w:r>
      <w:r w:rsidR="75273C47">
        <w:t>intake of saturated fat is higher than trans fat</w:t>
      </w:r>
      <w:r w:rsidR="005967AB">
        <w:t>s</w:t>
      </w:r>
      <w:r w:rsidR="75273C47">
        <w:t xml:space="preserve">. </w:t>
      </w:r>
    </w:p>
    <w:p w14:paraId="2C9546E9" w14:textId="6CD67C4E" w:rsidR="005967AB" w:rsidRDefault="00C86106" w:rsidP="005967AB">
      <w:r>
        <w:t>In N</w:t>
      </w:r>
      <w:r w:rsidR="005967AB">
        <w:t>ew Zealand</w:t>
      </w:r>
      <w:r>
        <w:t>, the</w:t>
      </w:r>
      <w:r w:rsidR="005967AB">
        <w:t xml:space="preserve"> 2008</w:t>
      </w:r>
      <w:r w:rsidR="00983CE7">
        <w:t>-</w:t>
      </w:r>
      <w:r w:rsidR="005967AB">
        <w:t>09 Adult Nutrition Survey did not measure intake of trans fats. From the 2009 FSANZ assessment (based on intake data from the 1997 Adult National Nutrition Survey and 2002 Children National Nutrition Survey)</w:t>
      </w:r>
      <w:r w:rsidR="005967AB" w:rsidRPr="2CF3C489">
        <w:rPr>
          <w:rFonts w:eastAsia="Times New Roman"/>
        </w:rPr>
        <w:t xml:space="preserve"> the mean manufactured </w:t>
      </w:r>
      <w:proofErr w:type="spellStart"/>
      <w:r w:rsidR="005967AB">
        <w:rPr>
          <w:rFonts w:eastAsia="Times New Roman"/>
        </w:rPr>
        <w:t>trans fat</w:t>
      </w:r>
      <w:proofErr w:type="spellEnd"/>
      <w:r w:rsidR="005967AB">
        <w:rPr>
          <w:rFonts w:eastAsia="Times New Roman"/>
        </w:rPr>
        <w:t xml:space="preserve"> </w:t>
      </w:r>
      <w:r w:rsidR="005967AB" w:rsidRPr="2CF3C489">
        <w:rPr>
          <w:rFonts w:eastAsia="Times New Roman"/>
        </w:rPr>
        <w:t xml:space="preserve">intake was estimated at 0.6g/day or less for New Zealand. For New Zealand consumers </w:t>
      </w:r>
      <w:proofErr w:type="gramStart"/>
      <w:r w:rsidR="005967AB" w:rsidRPr="2CF3C489">
        <w:rPr>
          <w:rFonts w:eastAsia="Times New Roman"/>
        </w:rPr>
        <w:t>whose</w:t>
      </w:r>
      <w:proofErr w:type="gramEnd"/>
      <w:r w:rsidR="005967AB" w:rsidRPr="2CF3C489">
        <w:rPr>
          <w:rFonts w:eastAsia="Times New Roman"/>
        </w:rPr>
        <w:t xml:space="preserve"> total </w:t>
      </w:r>
      <w:proofErr w:type="spellStart"/>
      <w:r w:rsidR="005967AB">
        <w:rPr>
          <w:rFonts w:eastAsia="Times New Roman"/>
        </w:rPr>
        <w:t>trans fat</w:t>
      </w:r>
      <w:proofErr w:type="spellEnd"/>
      <w:r w:rsidR="005967AB" w:rsidRPr="2CF3C489">
        <w:rPr>
          <w:rFonts w:eastAsia="Times New Roman"/>
        </w:rPr>
        <w:t xml:space="preserve"> intake exceeds 1% of energy, pastry products and creamy style pasta dishes, as well as cheese, popcorn, doughnuts and take away style fish products, ma</w:t>
      </w:r>
      <w:r w:rsidR="00FD69A0">
        <w:rPr>
          <w:rFonts w:eastAsia="Times New Roman"/>
        </w:rPr>
        <w:t>d</w:t>
      </w:r>
      <w:r w:rsidR="005967AB" w:rsidRPr="2CF3C489">
        <w:rPr>
          <w:rFonts w:eastAsia="Times New Roman"/>
        </w:rPr>
        <w:t xml:space="preserve">e a disproportionate contribution to </w:t>
      </w:r>
      <w:proofErr w:type="spellStart"/>
      <w:r w:rsidR="005967AB" w:rsidRPr="2CF3C489">
        <w:rPr>
          <w:rFonts w:eastAsia="Times New Roman"/>
        </w:rPr>
        <w:t xml:space="preserve">trans </w:t>
      </w:r>
      <w:r w:rsidR="005967AB">
        <w:rPr>
          <w:rFonts w:eastAsia="Times New Roman"/>
        </w:rPr>
        <w:t>fat</w:t>
      </w:r>
      <w:proofErr w:type="spellEnd"/>
      <w:r w:rsidR="005967AB">
        <w:rPr>
          <w:rFonts w:eastAsia="Times New Roman"/>
        </w:rPr>
        <w:t xml:space="preserve"> </w:t>
      </w:r>
      <w:r w:rsidR="005967AB" w:rsidRPr="2CF3C489">
        <w:rPr>
          <w:rFonts w:eastAsia="Times New Roman"/>
        </w:rPr>
        <w:t>intake.</w:t>
      </w:r>
    </w:p>
    <w:p w14:paraId="23D14FA5" w14:textId="7B6BBDBC" w:rsidR="005967AB" w:rsidRDefault="00A3412C" w:rsidP="005967AB">
      <w:r>
        <w:t xml:space="preserve">In Australia, </w:t>
      </w:r>
      <w:r w:rsidR="005967AB">
        <w:t>the 2011</w:t>
      </w:r>
      <w:r w:rsidR="00983CE7">
        <w:t>-</w:t>
      </w:r>
      <w:r w:rsidR="005967AB" w:rsidRPr="00AB3100">
        <w:t xml:space="preserve">12 </w:t>
      </w:r>
      <w:r w:rsidR="005967AB">
        <w:t>National Nutrition and Physical Activity Survey</w:t>
      </w:r>
      <w:r>
        <w:t xml:space="preserve"> report</w:t>
      </w:r>
      <w:r w:rsidR="00EB37C0">
        <w:t>ed</w:t>
      </w:r>
      <w:r>
        <w:t xml:space="preserve"> that </w:t>
      </w:r>
      <w:r w:rsidR="005967AB" w:rsidRPr="00C033AE">
        <w:t>th</w:t>
      </w:r>
      <w:r w:rsidR="005967AB">
        <w:t>e average consumption of trans fats in Australia</w:t>
      </w:r>
      <w:r w:rsidR="003A0270">
        <w:t xml:space="preserve"> (population aged 2 years and over)</w:t>
      </w:r>
      <w:r w:rsidR="005967AB">
        <w:t xml:space="preserve"> was 0.6 % of energy intake, below the WHO recommended limit. Main sources of trans fat </w:t>
      </w:r>
      <w:r w:rsidR="00310DA2">
        <w:t xml:space="preserve">intake </w:t>
      </w:r>
      <w:r w:rsidR="005967AB">
        <w:t xml:space="preserve">were cereal products and dishes (24.9%), meat, poultry and game products and dishes (23.2%), and milk products and dishes (24.2%), with the </w:t>
      </w:r>
      <w:r w:rsidR="00623130">
        <w:t>latter</w:t>
      </w:r>
      <w:r w:rsidR="005967AB">
        <w:t xml:space="preserve"> two categories likely to be predominantly ruminant trans fats</w:t>
      </w:r>
      <w:r w:rsidR="005967AB">
        <w:rPr>
          <w:rStyle w:val="FootnoteReference"/>
        </w:rPr>
        <w:footnoteReference w:id="120"/>
      </w:r>
      <w:r w:rsidR="005967AB">
        <w:t xml:space="preserve">. </w:t>
      </w:r>
    </w:p>
    <w:p w14:paraId="58DC8288" w14:textId="6F5AC9CF" w:rsidR="0074430D" w:rsidRDefault="0074430D" w:rsidP="0074430D">
      <w:r>
        <w:t>A</w:t>
      </w:r>
      <w:r w:rsidR="005967AB">
        <w:t>nalysis of the 2011</w:t>
      </w:r>
      <w:r w:rsidR="00983CE7">
        <w:t>-</w:t>
      </w:r>
      <w:r>
        <w:t xml:space="preserve">12 </w:t>
      </w:r>
      <w:r w:rsidR="005967AB">
        <w:t xml:space="preserve">Australian </w:t>
      </w:r>
      <w:r>
        <w:t>National Nutrition and Physical Activity Survey by the Sax Institute</w:t>
      </w:r>
      <w:r>
        <w:rPr>
          <w:rStyle w:val="FootnoteReference"/>
        </w:rPr>
        <w:footnoteReference w:id="121"/>
      </w:r>
      <w:r>
        <w:t xml:space="preserve"> reported 10% of Australians exceed</w:t>
      </w:r>
      <w:r w:rsidR="00EB37C0">
        <w:t>ed</w:t>
      </w:r>
      <w:r>
        <w:t xml:space="preserve"> the WHO recommended </w:t>
      </w:r>
      <w:proofErr w:type="spellStart"/>
      <w:r>
        <w:t>trans fat</w:t>
      </w:r>
      <w:proofErr w:type="spellEnd"/>
      <w:r>
        <w:t xml:space="preserve"> limit. Modelling also identified inequalities in </w:t>
      </w:r>
      <w:proofErr w:type="spellStart"/>
      <w:r>
        <w:t>trans fat</w:t>
      </w:r>
      <w:proofErr w:type="spellEnd"/>
      <w:r>
        <w:t xml:space="preserve"> consumption with estimates that 14% of survey participants with the lowest level of income and 14% of partici</w:t>
      </w:r>
      <w:r w:rsidR="00CB0796">
        <w:t>pants</w:t>
      </w:r>
      <w:r>
        <w:t xml:space="preserve"> with the lowest level of education would exceed the WHO recommended limit. </w:t>
      </w:r>
    </w:p>
    <w:p w14:paraId="1E887446" w14:textId="7866E203" w:rsidR="0074430D" w:rsidRDefault="0074430D" w:rsidP="0074430D">
      <w:r>
        <w:t xml:space="preserve">The Sax Institute reported that, based on FSANZ food composition data, 75% of products in Australia were below the 2% </w:t>
      </w:r>
      <w:r w:rsidR="002D00CC">
        <w:t xml:space="preserve">compositional </w:t>
      </w:r>
      <w:r>
        <w:t>limit</w:t>
      </w:r>
      <w:r w:rsidR="002D00CC">
        <w:t xml:space="preserve"> that is commonly used internationally</w:t>
      </w:r>
      <w:r w:rsidR="00C843A1">
        <w:t xml:space="preserve"> in relation to trans fats</w:t>
      </w:r>
      <w:r w:rsidR="002D00CC">
        <w:t xml:space="preserve">. </w:t>
      </w:r>
      <w:r>
        <w:t>Twenty-five percent</w:t>
      </w:r>
      <w:r w:rsidR="002D00CC">
        <w:t xml:space="preserve"> of products</w:t>
      </w:r>
      <w:r>
        <w:t xml:space="preserve"> exceeded the limit (noting that some of these products contained both </w:t>
      </w:r>
      <w:r w:rsidR="00A3412C">
        <w:t>manufactured</w:t>
      </w:r>
      <w:r>
        <w:t xml:space="preserve"> and ruminant trans fats). When products likely to contain both ruminant and </w:t>
      </w:r>
      <w:r w:rsidR="00A3412C">
        <w:t>manufactured</w:t>
      </w:r>
      <w:r>
        <w:t xml:space="preserve"> trans fats were excluded, 14% of products </w:t>
      </w:r>
      <w:r w:rsidR="00C843A1">
        <w:t xml:space="preserve">on the market </w:t>
      </w:r>
      <w:r>
        <w:t xml:space="preserve">exceeded the 2% limit. The Sax Institute also compared the trans fats levels in Australian foods (in 2013) to international food composition data and reported that </w:t>
      </w:r>
      <w:proofErr w:type="spellStart"/>
      <w:r>
        <w:t>trans fat</w:t>
      </w:r>
      <w:proofErr w:type="spellEnd"/>
      <w:r>
        <w:t xml:space="preserve"> levels in products such as pastries, popcorn and baked goods were higher in Australia compared to Can</w:t>
      </w:r>
      <w:r w:rsidR="003207EE">
        <w:t>ada or the United Kingdom (see T</w:t>
      </w:r>
      <w:r>
        <w:t xml:space="preserve">able </w:t>
      </w:r>
      <w:r w:rsidR="003207EE">
        <w:t xml:space="preserve">2 </w:t>
      </w:r>
      <w:r>
        <w:t xml:space="preserve">below). Note that Canada has since banned use of trans fats in the food supply, while the United Kingdom does not have compositional limits for trans fats. </w:t>
      </w:r>
    </w:p>
    <w:p w14:paraId="28F5BDC3" w14:textId="5D8C4BDD" w:rsidR="0074430D" w:rsidRPr="00042FB3" w:rsidRDefault="0074430D" w:rsidP="00042FB3">
      <w:pPr>
        <w:pStyle w:val="Caption"/>
        <w:keepNext/>
        <w:rPr>
          <w:b/>
          <w:color w:val="auto"/>
          <w:sz w:val="24"/>
          <w:szCs w:val="24"/>
        </w:rPr>
      </w:pPr>
      <w:r w:rsidRPr="00FE0358">
        <w:rPr>
          <w:b/>
          <w:color w:val="auto"/>
          <w:sz w:val="24"/>
          <w:szCs w:val="24"/>
        </w:rPr>
        <w:lastRenderedPageBreak/>
        <w:t xml:space="preserve">Table </w:t>
      </w:r>
      <w:r w:rsidR="004A174B">
        <w:rPr>
          <w:b/>
          <w:color w:val="auto"/>
          <w:sz w:val="24"/>
          <w:szCs w:val="24"/>
        </w:rPr>
        <w:t>2</w:t>
      </w:r>
      <w:r w:rsidRPr="00FE0358">
        <w:rPr>
          <w:b/>
          <w:color w:val="auto"/>
          <w:sz w:val="24"/>
          <w:szCs w:val="24"/>
        </w:rPr>
        <w:t>: International comparison</w:t>
      </w:r>
      <w:r w:rsidRPr="006053D8">
        <w:rPr>
          <w:b/>
          <w:color w:val="auto"/>
          <w:sz w:val="24"/>
          <w:szCs w:val="24"/>
        </w:rPr>
        <w:t xml:space="preserve"> of trans fats in food</w:t>
      </w:r>
      <w:r w:rsidR="00134658">
        <w:rPr>
          <w:b/>
          <w:color w:val="auto"/>
          <w:sz w:val="24"/>
          <w:szCs w:val="24"/>
        </w:rPr>
        <w:t xml:space="preserve"> </w:t>
      </w:r>
      <w:r w:rsidR="000F36A4">
        <w:rPr>
          <w:rStyle w:val="FootnoteReference"/>
          <w:b/>
          <w:color w:val="auto"/>
          <w:sz w:val="24"/>
          <w:szCs w:val="24"/>
        </w:rPr>
        <w:footnoteReference w:id="122"/>
      </w:r>
    </w:p>
    <w:tbl>
      <w:tblPr>
        <w:tblStyle w:val="TableGrid"/>
        <w:tblW w:w="0" w:type="auto"/>
        <w:tblLayout w:type="fixed"/>
        <w:tblLook w:val="04A0" w:firstRow="1" w:lastRow="0" w:firstColumn="1" w:lastColumn="0" w:noHBand="0" w:noVBand="1"/>
        <w:tblCaption w:val="Table 2: International comparison of trans fats in food"/>
        <w:tblDescription w:val="The table has 6 columns. Column 1: Details different product types. Coloumn 2: Product average trans fat content and standard deviation, as a percent of total fat, for Australia in 2013. Column 3: Product average trans fat content and standard deviation, as a percent of total fat, for Canada in 2010. Column 4: Product average trans fat content, as a percent of total fat, for UK 2013. Column 5: Product average trans fat, as a percent of total fat, for Netherlands in 2011. Column 6: Product average trans fat content, as a percent of total fat, for Malaysia in 2014. "/>
      </w:tblPr>
      <w:tblGrid>
        <w:gridCol w:w="2122"/>
        <w:gridCol w:w="1378"/>
        <w:gridCol w:w="1379"/>
        <w:gridCol w:w="1379"/>
        <w:gridCol w:w="1379"/>
        <w:gridCol w:w="1379"/>
      </w:tblGrid>
      <w:tr w:rsidR="00134658" w14:paraId="36348D90" w14:textId="77777777" w:rsidTr="005C6ADF">
        <w:trPr>
          <w:tblHeader/>
        </w:trPr>
        <w:tc>
          <w:tcPr>
            <w:tcW w:w="2122" w:type="dxa"/>
          </w:tcPr>
          <w:p w14:paraId="239D1B09" w14:textId="2CF735DC" w:rsidR="00134658" w:rsidRPr="005C6ADF" w:rsidRDefault="00134658" w:rsidP="00042FB3">
            <w:pPr>
              <w:rPr>
                <w:b/>
                <w:sz w:val="22"/>
                <w:szCs w:val="22"/>
              </w:rPr>
            </w:pPr>
            <w:r w:rsidRPr="005C6ADF">
              <w:rPr>
                <w:b/>
                <w:sz w:val="22"/>
                <w:szCs w:val="22"/>
              </w:rPr>
              <w:t>Product type</w:t>
            </w:r>
          </w:p>
        </w:tc>
        <w:tc>
          <w:tcPr>
            <w:tcW w:w="1378" w:type="dxa"/>
          </w:tcPr>
          <w:p w14:paraId="5D22FA64" w14:textId="1E6CAC25" w:rsidR="00134658" w:rsidRPr="005C6ADF" w:rsidRDefault="00134658" w:rsidP="00042FB3">
            <w:pPr>
              <w:jc w:val="center"/>
              <w:rPr>
                <w:b/>
                <w:sz w:val="22"/>
                <w:szCs w:val="22"/>
              </w:rPr>
            </w:pPr>
            <w:r w:rsidRPr="005C6ADF">
              <w:rPr>
                <w:b/>
                <w:sz w:val="22"/>
                <w:szCs w:val="22"/>
              </w:rPr>
              <w:t>Australia 2013</w:t>
            </w:r>
          </w:p>
        </w:tc>
        <w:tc>
          <w:tcPr>
            <w:tcW w:w="1379" w:type="dxa"/>
          </w:tcPr>
          <w:p w14:paraId="21ECAB2B" w14:textId="0FA46A67" w:rsidR="00134658" w:rsidRPr="005C6ADF" w:rsidRDefault="00134658" w:rsidP="00042FB3">
            <w:pPr>
              <w:jc w:val="center"/>
              <w:rPr>
                <w:b/>
                <w:sz w:val="22"/>
                <w:szCs w:val="22"/>
              </w:rPr>
            </w:pPr>
            <w:r w:rsidRPr="005C6ADF">
              <w:rPr>
                <w:b/>
                <w:sz w:val="22"/>
                <w:szCs w:val="22"/>
              </w:rPr>
              <w:t>Canada 2010</w:t>
            </w:r>
          </w:p>
        </w:tc>
        <w:tc>
          <w:tcPr>
            <w:tcW w:w="1379" w:type="dxa"/>
          </w:tcPr>
          <w:p w14:paraId="2E0C6FEC" w14:textId="366ACD94" w:rsidR="00042FB3" w:rsidRPr="005C6ADF" w:rsidRDefault="00134658" w:rsidP="00042FB3">
            <w:pPr>
              <w:jc w:val="center"/>
              <w:rPr>
                <w:b/>
                <w:sz w:val="22"/>
                <w:szCs w:val="22"/>
              </w:rPr>
            </w:pPr>
            <w:r w:rsidRPr="005C6ADF">
              <w:rPr>
                <w:b/>
                <w:sz w:val="22"/>
                <w:szCs w:val="22"/>
              </w:rPr>
              <w:t>UK</w:t>
            </w:r>
          </w:p>
          <w:p w14:paraId="0F6F4620" w14:textId="6EB19776" w:rsidR="00134658" w:rsidRPr="005C6ADF" w:rsidRDefault="00134658" w:rsidP="00042FB3">
            <w:pPr>
              <w:jc w:val="center"/>
              <w:rPr>
                <w:b/>
                <w:sz w:val="22"/>
                <w:szCs w:val="22"/>
              </w:rPr>
            </w:pPr>
            <w:r w:rsidRPr="005C6ADF">
              <w:rPr>
                <w:b/>
                <w:sz w:val="22"/>
                <w:szCs w:val="22"/>
              </w:rPr>
              <w:t>2013</w:t>
            </w:r>
          </w:p>
        </w:tc>
        <w:tc>
          <w:tcPr>
            <w:tcW w:w="1379" w:type="dxa"/>
          </w:tcPr>
          <w:p w14:paraId="3AE1E143" w14:textId="1886230D" w:rsidR="00134658" w:rsidRPr="005C6ADF" w:rsidRDefault="00134658" w:rsidP="00042FB3">
            <w:pPr>
              <w:jc w:val="center"/>
              <w:rPr>
                <w:b/>
                <w:sz w:val="22"/>
                <w:szCs w:val="22"/>
              </w:rPr>
            </w:pPr>
            <w:r w:rsidRPr="005C6ADF">
              <w:rPr>
                <w:b/>
                <w:sz w:val="22"/>
                <w:szCs w:val="22"/>
              </w:rPr>
              <w:t>Netherlands 2011</w:t>
            </w:r>
          </w:p>
        </w:tc>
        <w:tc>
          <w:tcPr>
            <w:tcW w:w="1379" w:type="dxa"/>
          </w:tcPr>
          <w:p w14:paraId="068BA48E" w14:textId="0AEB520C" w:rsidR="00134658" w:rsidRPr="005C6ADF" w:rsidRDefault="00134658" w:rsidP="00042FB3">
            <w:pPr>
              <w:jc w:val="center"/>
              <w:rPr>
                <w:b/>
                <w:sz w:val="22"/>
                <w:szCs w:val="22"/>
              </w:rPr>
            </w:pPr>
            <w:r w:rsidRPr="005C6ADF">
              <w:rPr>
                <w:b/>
                <w:sz w:val="22"/>
                <w:szCs w:val="22"/>
              </w:rPr>
              <w:t>Malaysia 2014</w:t>
            </w:r>
          </w:p>
        </w:tc>
      </w:tr>
      <w:tr w:rsidR="00042FB3" w14:paraId="402F4055" w14:textId="77777777" w:rsidTr="005C6ADF">
        <w:tc>
          <w:tcPr>
            <w:tcW w:w="2122" w:type="dxa"/>
          </w:tcPr>
          <w:p w14:paraId="229B6A15" w14:textId="77777777" w:rsidR="00042FB3" w:rsidRPr="00214A63" w:rsidRDefault="00042FB3" w:rsidP="4F93ADCF">
            <w:pPr>
              <w:rPr>
                <w:sz w:val="20"/>
                <w:szCs w:val="20"/>
              </w:rPr>
            </w:pPr>
          </w:p>
        </w:tc>
        <w:tc>
          <w:tcPr>
            <w:tcW w:w="6894" w:type="dxa"/>
            <w:gridSpan w:val="5"/>
          </w:tcPr>
          <w:p w14:paraId="05E7CD93" w14:textId="1ED58B29" w:rsidR="00042FB3" w:rsidRPr="00214A63" w:rsidRDefault="00042FB3" w:rsidP="00042FB3">
            <w:pPr>
              <w:jc w:val="center"/>
              <w:rPr>
                <w:sz w:val="20"/>
                <w:szCs w:val="20"/>
              </w:rPr>
            </w:pPr>
            <w:r w:rsidRPr="00214A63">
              <w:rPr>
                <w:sz w:val="20"/>
                <w:szCs w:val="20"/>
              </w:rPr>
              <w:t>Trans fat level as a % of total fat</w:t>
            </w:r>
          </w:p>
          <w:p w14:paraId="162C6519" w14:textId="46174611" w:rsidR="00042FB3" w:rsidRPr="00214A63" w:rsidRDefault="00042FB3" w:rsidP="00042FB3">
            <w:pPr>
              <w:jc w:val="center"/>
              <w:rPr>
                <w:sz w:val="20"/>
                <w:szCs w:val="20"/>
              </w:rPr>
            </w:pPr>
            <w:r w:rsidRPr="00214A63">
              <w:rPr>
                <w:sz w:val="20"/>
                <w:szCs w:val="20"/>
              </w:rPr>
              <w:t>(mean ± standard deviation (where available))</w:t>
            </w:r>
          </w:p>
        </w:tc>
      </w:tr>
      <w:tr w:rsidR="00134658" w14:paraId="3F3216FF" w14:textId="77777777" w:rsidTr="005C6ADF">
        <w:tc>
          <w:tcPr>
            <w:tcW w:w="2122" w:type="dxa"/>
          </w:tcPr>
          <w:p w14:paraId="1927AD13" w14:textId="1D83F5BF" w:rsidR="00134658" w:rsidRPr="00214A63" w:rsidRDefault="00134658" w:rsidP="4F93ADCF">
            <w:pPr>
              <w:rPr>
                <w:sz w:val="20"/>
                <w:szCs w:val="20"/>
              </w:rPr>
            </w:pPr>
            <w:r w:rsidRPr="00214A63">
              <w:rPr>
                <w:sz w:val="20"/>
                <w:szCs w:val="20"/>
              </w:rPr>
              <w:t>Prepared pastry</w:t>
            </w:r>
          </w:p>
        </w:tc>
        <w:tc>
          <w:tcPr>
            <w:tcW w:w="1378" w:type="dxa"/>
          </w:tcPr>
          <w:p w14:paraId="22276AA0" w14:textId="60A14ABE" w:rsidR="00134658" w:rsidRPr="00214A63" w:rsidRDefault="00134658" w:rsidP="4F93ADCF">
            <w:pPr>
              <w:rPr>
                <w:sz w:val="20"/>
                <w:szCs w:val="20"/>
              </w:rPr>
            </w:pPr>
            <w:r w:rsidRPr="00214A63">
              <w:rPr>
                <w:sz w:val="20"/>
                <w:szCs w:val="20"/>
              </w:rPr>
              <w:t>6.3 ± 3.2</w:t>
            </w:r>
          </w:p>
        </w:tc>
        <w:tc>
          <w:tcPr>
            <w:tcW w:w="1379" w:type="dxa"/>
          </w:tcPr>
          <w:p w14:paraId="5D3242DB" w14:textId="725ED315" w:rsidR="00134658" w:rsidRPr="00214A63" w:rsidRDefault="00134658" w:rsidP="4F93ADCF">
            <w:pPr>
              <w:rPr>
                <w:sz w:val="20"/>
                <w:szCs w:val="20"/>
              </w:rPr>
            </w:pPr>
            <w:r w:rsidRPr="00214A63">
              <w:rPr>
                <w:sz w:val="20"/>
                <w:szCs w:val="20"/>
              </w:rPr>
              <w:t>2.1 ± 8.1</w:t>
            </w:r>
          </w:p>
        </w:tc>
        <w:tc>
          <w:tcPr>
            <w:tcW w:w="1379" w:type="dxa"/>
          </w:tcPr>
          <w:p w14:paraId="6C3BB761" w14:textId="0C21AF15" w:rsidR="00134658" w:rsidRPr="00214A63" w:rsidRDefault="007D1766" w:rsidP="4F93ADCF">
            <w:pPr>
              <w:rPr>
                <w:sz w:val="20"/>
                <w:szCs w:val="20"/>
              </w:rPr>
            </w:pPr>
            <w:proofErr w:type="spellStart"/>
            <w:r w:rsidRPr="00214A63">
              <w:rPr>
                <w:sz w:val="20"/>
                <w:szCs w:val="20"/>
              </w:rPr>
              <w:t>na</w:t>
            </w:r>
            <w:proofErr w:type="spellEnd"/>
          </w:p>
        </w:tc>
        <w:tc>
          <w:tcPr>
            <w:tcW w:w="1379" w:type="dxa"/>
          </w:tcPr>
          <w:p w14:paraId="49F6ECB0" w14:textId="2D5F6B51" w:rsidR="00134658" w:rsidRPr="00214A63" w:rsidRDefault="007D1766" w:rsidP="4F93ADCF">
            <w:pPr>
              <w:rPr>
                <w:sz w:val="20"/>
                <w:szCs w:val="20"/>
              </w:rPr>
            </w:pPr>
            <w:proofErr w:type="spellStart"/>
            <w:r w:rsidRPr="00214A63">
              <w:rPr>
                <w:sz w:val="20"/>
                <w:szCs w:val="20"/>
              </w:rPr>
              <w:t>na</w:t>
            </w:r>
            <w:proofErr w:type="spellEnd"/>
          </w:p>
        </w:tc>
        <w:tc>
          <w:tcPr>
            <w:tcW w:w="1379" w:type="dxa"/>
          </w:tcPr>
          <w:p w14:paraId="20E2FDDF" w14:textId="16E8D120" w:rsidR="00134658" w:rsidRPr="00214A63" w:rsidRDefault="007D1766" w:rsidP="4F93ADCF">
            <w:pPr>
              <w:rPr>
                <w:sz w:val="20"/>
                <w:szCs w:val="20"/>
              </w:rPr>
            </w:pPr>
            <w:proofErr w:type="spellStart"/>
            <w:r w:rsidRPr="00214A63">
              <w:rPr>
                <w:sz w:val="20"/>
                <w:szCs w:val="20"/>
              </w:rPr>
              <w:t>na</w:t>
            </w:r>
            <w:proofErr w:type="spellEnd"/>
          </w:p>
        </w:tc>
      </w:tr>
      <w:tr w:rsidR="007D1766" w14:paraId="6E8730BD" w14:textId="77777777" w:rsidTr="005C6ADF">
        <w:tc>
          <w:tcPr>
            <w:tcW w:w="2122" w:type="dxa"/>
          </w:tcPr>
          <w:p w14:paraId="7FA91D4F" w14:textId="5825EA53" w:rsidR="007D1766" w:rsidRPr="00214A63" w:rsidRDefault="007D1766" w:rsidP="007D1766">
            <w:pPr>
              <w:rPr>
                <w:sz w:val="20"/>
                <w:szCs w:val="20"/>
              </w:rPr>
            </w:pPr>
            <w:r w:rsidRPr="00214A63">
              <w:rPr>
                <w:sz w:val="20"/>
                <w:szCs w:val="20"/>
              </w:rPr>
              <w:t>Popcorn</w:t>
            </w:r>
          </w:p>
        </w:tc>
        <w:tc>
          <w:tcPr>
            <w:tcW w:w="1378" w:type="dxa"/>
          </w:tcPr>
          <w:p w14:paraId="15D65663" w14:textId="77BCB616" w:rsidR="007D1766" w:rsidRPr="00214A63" w:rsidRDefault="007D1766" w:rsidP="007D1766">
            <w:pPr>
              <w:rPr>
                <w:sz w:val="20"/>
                <w:szCs w:val="20"/>
              </w:rPr>
            </w:pPr>
            <w:r w:rsidRPr="00214A63">
              <w:rPr>
                <w:sz w:val="20"/>
                <w:szCs w:val="20"/>
              </w:rPr>
              <w:t>6.8 ± 7.5</w:t>
            </w:r>
          </w:p>
        </w:tc>
        <w:tc>
          <w:tcPr>
            <w:tcW w:w="1379" w:type="dxa"/>
          </w:tcPr>
          <w:p w14:paraId="5ABCE303" w14:textId="310F906E" w:rsidR="007D1766" w:rsidRPr="00214A63" w:rsidRDefault="007D1766" w:rsidP="007D1766">
            <w:pPr>
              <w:rPr>
                <w:sz w:val="20"/>
                <w:szCs w:val="20"/>
              </w:rPr>
            </w:pPr>
            <w:r w:rsidRPr="00214A63">
              <w:rPr>
                <w:sz w:val="20"/>
                <w:szCs w:val="20"/>
              </w:rPr>
              <w:t>4.4 ± 11.8</w:t>
            </w:r>
          </w:p>
        </w:tc>
        <w:tc>
          <w:tcPr>
            <w:tcW w:w="1379" w:type="dxa"/>
          </w:tcPr>
          <w:p w14:paraId="1B5DDC22" w14:textId="6E0868F0"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7AD2C95B" w14:textId="53AEB918"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0383B36E" w14:textId="70FFBBF0" w:rsidR="007D1766" w:rsidRPr="00214A63" w:rsidRDefault="007D1766" w:rsidP="007D1766">
            <w:pPr>
              <w:rPr>
                <w:sz w:val="20"/>
                <w:szCs w:val="20"/>
              </w:rPr>
            </w:pPr>
            <w:proofErr w:type="spellStart"/>
            <w:r w:rsidRPr="00214A63">
              <w:rPr>
                <w:sz w:val="20"/>
                <w:szCs w:val="20"/>
              </w:rPr>
              <w:t>na</w:t>
            </w:r>
            <w:proofErr w:type="spellEnd"/>
          </w:p>
        </w:tc>
      </w:tr>
      <w:tr w:rsidR="007D1766" w14:paraId="536A60D5" w14:textId="77777777" w:rsidTr="005C6ADF">
        <w:tc>
          <w:tcPr>
            <w:tcW w:w="2122" w:type="dxa"/>
          </w:tcPr>
          <w:p w14:paraId="5365C230" w14:textId="21CFF8DE" w:rsidR="007D1766" w:rsidRPr="00214A63" w:rsidRDefault="007D1766" w:rsidP="007D1766">
            <w:pPr>
              <w:rPr>
                <w:sz w:val="20"/>
                <w:szCs w:val="20"/>
              </w:rPr>
            </w:pPr>
            <w:r w:rsidRPr="00214A63">
              <w:rPr>
                <w:sz w:val="20"/>
                <w:szCs w:val="20"/>
              </w:rPr>
              <w:t>Custard baked goods</w:t>
            </w:r>
          </w:p>
        </w:tc>
        <w:tc>
          <w:tcPr>
            <w:tcW w:w="1378" w:type="dxa"/>
          </w:tcPr>
          <w:p w14:paraId="01D78B46" w14:textId="43D4F9FD" w:rsidR="007D1766" w:rsidRPr="00214A63" w:rsidRDefault="007D1766" w:rsidP="007D1766">
            <w:pPr>
              <w:rPr>
                <w:sz w:val="20"/>
                <w:szCs w:val="20"/>
              </w:rPr>
            </w:pPr>
            <w:r w:rsidRPr="00214A63">
              <w:rPr>
                <w:sz w:val="20"/>
                <w:szCs w:val="20"/>
              </w:rPr>
              <w:t>4.4 ± 2.4</w:t>
            </w:r>
          </w:p>
        </w:tc>
        <w:tc>
          <w:tcPr>
            <w:tcW w:w="1379" w:type="dxa"/>
          </w:tcPr>
          <w:p w14:paraId="4506BC1E" w14:textId="3DCD5B4D" w:rsidR="007D1766" w:rsidRPr="00214A63" w:rsidRDefault="007D1766" w:rsidP="007D1766">
            <w:pPr>
              <w:rPr>
                <w:sz w:val="20"/>
                <w:szCs w:val="20"/>
              </w:rPr>
            </w:pPr>
            <w:r w:rsidRPr="00214A63">
              <w:rPr>
                <w:sz w:val="20"/>
                <w:szCs w:val="20"/>
              </w:rPr>
              <w:t>1.3 ± 1.4</w:t>
            </w:r>
          </w:p>
        </w:tc>
        <w:tc>
          <w:tcPr>
            <w:tcW w:w="1379" w:type="dxa"/>
          </w:tcPr>
          <w:p w14:paraId="2E6BB3E0" w14:textId="574C8949"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74E07535" w14:textId="2E3B86F8"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61FD747A" w14:textId="3CB59C94" w:rsidR="007D1766" w:rsidRPr="00214A63" w:rsidRDefault="007D1766" w:rsidP="007D1766">
            <w:pPr>
              <w:rPr>
                <w:sz w:val="20"/>
                <w:szCs w:val="20"/>
              </w:rPr>
            </w:pPr>
            <w:proofErr w:type="spellStart"/>
            <w:r w:rsidRPr="00214A63">
              <w:rPr>
                <w:sz w:val="20"/>
                <w:szCs w:val="20"/>
              </w:rPr>
              <w:t>na</w:t>
            </w:r>
            <w:proofErr w:type="spellEnd"/>
          </w:p>
        </w:tc>
      </w:tr>
      <w:tr w:rsidR="007D1766" w14:paraId="049B0E66" w14:textId="77777777" w:rsidTr="005C6ADF">
        <w:tc>
          <w:tcPr>
            <w:tcW w:w="2122" w:type="dxa"/>
          </w:tcPr>
          <w:p w14:paraId="3311B687" w14:textId="0AE650CA" w:rsidR="007D1766" w:rsidRPr="00214A63" w:rsidRDefault="007D1766" w:rsidP="007D1766">
            <w:pPr>
              <w:rPr>
                <w:sz w:val="20"/>
                <w:szCs w:val="20"/>
              </w:rPr>
            </w:pPr>
            <w:r w:rsidRPr="00214A63">
              <w:rPr>
                <w:sz w:val="20"/>
                <w:szCs w:val="20"/>
              </w:rPr>
              <w:t>Meat pies</w:t>
            </w:r>
          </w:p>
        </w:tc>
        <w:tc>
          <w:tcPr>
            <w:tcW w:w="1378" w:type="dxa"/>
          </w:tcPr>
          <w:p w14:paraId="49942924" w14:textId="685A0EEF" w:rsidR="007D1766" w:rsidRPr="00214A63" w:rsidRDefault="007D1766" w:rsidP="007D1766">
            <w:pPr>
              <w:rPr>
                <w:sz w:val="20"/>
                <w:szCs w:val="20"/>
              </w:rPr>
            </w:pPr>
            <w:r w:rsidRPr="00214A63">
              <w:rPr>
                <w:sz w:val="20"/>
                <w:szCs w:val="20"/>
              </w:rPr>
              <w:t>4.4 ± 2.2</w:t>
            </w:r>
          </w:p>
        </w:tc>
        <w:tc>
          <w:tcPr>
            <w:tcW w:w="1379" w:type="dxa"/>
          </w:tcPr>
          <w:p w14:paraId="53FB2A96" w14:textId="67D996AE"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659D9488" w14:textId="767D5A04" w:rsidR="007D1766" w:rsidRPr="00214A63" w:rsidRDefault="007D1766" w:rsidP="007D1766">
            <w:pPr>
              <w:rPr>
                <w:sz w:val="20"/>
                <w:szCs w:val="20"/>
              </w:rPr>
            </w:pPr>
            <w:r w:rsidRPr="00214A63">
              <w:rPr>
                <w:sz w:val="20"/>
                <w:szCs w:val="20"/>
              </w:rPr>
              <w:t>2.4</w:t>
            </w:r>
          </w:p>
        </w:tc>
        <w:tc>
          <w:tcPr>
            <w:tcW w:w="1379" w:type="dxa"/>
          </w:tcPr>
          <w:p w14:paraId="69580FA7" w14:textId="482DCB6A"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725D693C" w14:textId="3E5CE383" w:rsidR="007D1766" w:rsidRPr="00214A63" w:rsidRDefault="007D1766" w:rsidP="007D1766">
            <w:pPr>
              <w:rPr>
                <w:sz w:val="20"/>
                <w:szCs w:val="20"/>
              </w:rPr>
            </w:pPr>
            <w:proofErr w:type="spellStart"/>
            <w:r w:rsidRPr="00214A63">
              <w:rPr>
                <w:sz w:val="20"/>
                <w:szCs w:val="20"/>
              </w:rPr>
              <w:t>na</w:t>
            </w:r>
            <w:proofErr w:type="spellEnd"/>
          </w:p>
        </w:tc>
      </w:tr>
      <w:tr w:rsidR="007D1766" w14:paraId="78A04A8D" w14:textId="77777777" w:rsidTr="005C6ADF">
        <w:tc>
          <w:tcPr>
            <w:tcW w:w="2122" w:type="dxa"/>
          </w:tcPr>
          <w:p w14:paraId="4B840C3C" w14:textId="59D01CC6" w:rsidR="007D1766" w:rsidRPr="00214A63" w:rsidRDefault="007D1766" w:rsidP="007D1766">
            <w:pPr>
              <w:rPr>
                <w:sz w:val="20"/>
                <w:szCs w:val="20"/>
              </w:rPr>
            </w:pPr>
            <w:r w:rsidRPr="00214A63">
              <w:rPr>
                <w:sz w:val="20"/>
                <w:szCs w:val="20"/>
              </w:rPr>
              <w:t>Sausage rolls</w:t>
            </w:r>
          </w:p>
        </w:tc>
        <w:tc>
          <w:tcPr>
            <w:tcW w:w="1378" w:type="dxa"/>
          </w:tcPr>
          <w:p w14:paraId="23D647F2" w14:textId="6B931554" w:rsidR="007D1766" w:rsidRPr="00214A63" w:rsidRDefault="007D1766" w:rsidP="007D1766">
            <w:pPr>
              <w:rPr>
                <w:sz w:val="20"/>
                <w:szCs w:val="20"/>
              </w:rPr>
            </w:pPr>
            <w:r w:rsidRPr="00214A63">
              <w:rPr>
                <w:sz w:val="20"/>
                <w:szCs w:val="20"/>
              </w:rPr>
              <w:t>4.8 ± 3.0</w:t>
            </w:r>
          </w:p>
        </w:tc>
        <w:tc>
          <w:tcPr>
            <w:tcW w:w="1379" w:type="dxa"/>
          </w:tcPr>
          <w:p w14:paraId="6E92C2D6" w14:textId="04CD8FF6" w:rsidR="007D1766" w:rsidRPr="00214A63" w:rsidRDefault="007D1766" w:rsidP="007D1766">
            <w:pPr>
              <w:rPr>
                <w:sz w:val="20"/>
                <w:szCs w:val="20"/>
              </w:rPr>
            </w:pPr>
            <w:r w:rsidRPr="00214A63">
              <w:rPr>
                <w:sz w:val="20"/>
                <w:szCs w:val="20"/>
              </w:rPr>
              <w:t>2.5 ± 4.6</w:t>
            </w:r>
          </w:p>
        </w:tc>
        <w:tc>
          <w:tcPr>
            <w:tcW w:w="1379" w:type="dxa"/>
          </w:tcPr>
          <w:p w14:paraId="0F49873A" w14:textId="36E7C8F9"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12D57CBD" w14:textId="7515CE3F"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231F08C6" w14:textId="60964643" w:rsidR="007D1766" w:rsidRPr="00214A63" w:rsidRDefault="007D1766" w:rsidP="007D1766">
            <w:pPr>
              <w:rPr>
                <w:sz w:val="20"/>
                <w:szCs w:val="20"/>
              </w:rPr>
            </w:pPr>
            <w:proofErr w:type="spellStart"/>
            <w:r w:rsidRPr="00214A63">
              <w:rPr>
                <w:sz w:val="20"/>
                <w:szCs w:val="20"/>
              </w:rPr>
              <w:t>na</w:t>
            </w:r>
            <w:proofErr w:type="spellEnd"/>
          </w:p>
        </w:tc>
      </w:tr>
      <w:tr w:rsidR="007D1766" w14:paraId="61B17FB5" w14:textId="77777777" w:rsidTr="005C6ADF">
        <w:tc>
          <w:tcPr>
            <w:tcW w:w="2122" w:type="dxa"/>
          </w:tcPr>
          <w:p w14:paraId="3858ED06" w14:textId="26B33414" w:rsidR="007D1766" w:rsidRPr="00214A63" w:rsidRDefault="007D1766" w:rsidP="007D1766">
            <w:pPr>
              <w:rPr>
                <w:sz w:val="20"/>
                <w:szCs w:val="20"/>
              </w:rPr>
            </w:pPr>
            <w:r w:rsidRPr="00214A63">
              <w:rPr>
                <w:sz w:val="20"/>
                <w:szCs w:val="20"/>
              </w:rPr>
              <w:t>Croissants</w:t>
            </w:r>
          </w:p>
        </w:tc>
        <w:tc>
          <w:tcPr>
            <w:tcW w:w="1378" w:type="dxa"/>
          </w:tcPr>
          <w:p w14:paraId="4689C4F0" w14:textId="1B0F88D7" w:rsidR="007D1766" w:rsidRPr="00214A63" w:rsidRDefault="007D1766" w:rsidP="007D1766">
            <w:pPr>
              <w:rPr>
                <w:sz w:val="20"/>
                <w:szCs w:val="20"/>
              </w:rPr>
            </w:pPr>
            <w:r w:rsidRPr="00214A63">
              <w:rPr>
                <w:sz w:val="20"/>
                <w:szCs w:val="20"/>
              </w:rPr>
              <w:t>4.8 ± 1.4</w:t>
            </w:r>
          </w:p>
        </w:tc>
        <w:tc>
          <w:tcPr>
            <w:tcW w:w="1379" w:type="dxa"/>
          </w:tcPr>
          <w:p w14:paraId="2E550926" w14:textId="3E1C21EB" w:rsidR="007D1766" w:rsidRPr="00214A63" w:rsidRDefault="007D1766" w:rsidP="007D1766">
            <w:pPr>
              <w:rPr>
                <w:sz w:val="20"/>
                <w:szCs w:val="20"/>
              </w:rPr>
            </w:pPr>
            <w:r w:rsidRPr="00214A63">
              <w:rPr>
                <w:sz w:val="20"/>
                <w:szCs w:val="20"/>
              </w:rPr>
              <w:t>2.0 ± 1.2</w:t>
            </w:r>
          </w:p>
        </w:tc>
        <w:tc>
          <w:tcPr>
            <w:tcW w:w="1379" w:type="dxa"/>
          </w:tcPr>
          <w:p w14:paraId="0F4CC81B" w14:textId="3B6142F1"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0FA56A5C" w14:textId="1D51FC68" w:rsidR="007D1766" w:rsidRPr="00214A63" w:rsidRDefault="007D1766" w:rsidP="007D1766">
            <w:pPr>
              <w:rPr>
                <w:sz w:val="20"/>
                <w:szCs w:val="20"/>
              </w:rPr>
            </w:pPr>
            <w:proofErr w:type="spellStart"/>
            <w:r w:rsidRPr="00214A63">
              <w:rPr>
                <w:sz w:val="20"/>
                <w:szCs w:val="20"/>
              </w:rPr>
              <w:t>na</w:t>
            </w:r>
            <w:proofErr w:type="spellEnd"/>
          </w:p>
        </w:tc>
        <w:tc>
          <w:tcPr>
            <w:tcW w:w="1379" w:type="dxa"/>
          </w:tcPr>
          <w:p w14:paraId="57EE07E3" w14:textId="6D4CE7FD" w:rsidR="007D1766" w:rsidRPr="00214A63" w:rsidRDefault="007D1766" w:rsidP="007D1766">
            <w:pPr>
              <w:rPr>
                <w:sz w:val="20"/>
                <w:szCs w:val="20"/>
              </w:rPr>
            </w:pPr>
            <w:proofErr w:type="spellStart"/>
            <w:r w:rsidRPr="00214A63">
              <w:rPr>
                <w:sz w:val="20"/>
                <w:szCs w:val="20"/>
              </w:rPr>
              <w:t>na</w:t>
            </w:r>
            <w:proofErr w:type="spellEnd"/>
          </w:p>
        </w:tc>
      </w:tr>
      <w:tr w:rsidR="007D1766" w14:paraId="6D4BDACF" w14:textId="77777777" w:rsidTr="005C6ADF">
        <w:tc>
          <w:tcPr>
            <w:tcW w:w="2122" w:type="dxa"/>
          </w:tcPr>
          <w:p w14:paraId="717D2056" w14:textId="36D690DB" w:rsidR="007D1766" w:rsidRPr="00214A63" w:rsidRDefault="007D1766" w:rsidP="007D1766">
            <w:pPr>
              <w:rPr>
                <w:sz w:val="20"/>
                <w:szCs w:val="20"/>
              </w:rPr>
            </w:pPr>
            <w:r w:rsidRPr="00214A63">
              <w:rPr>
                <w:sz w:val="20"/>
                <w:szCs w:val="20"/>
              </w:rPr>
              <w:t>Desserts</w:t>
            </w:r>
          </w:p>
        </w:tc>
        <w:tc>
          <w:tcPr>
            <w:tcW w:w="1378" w:type="dxa"/>
          </w:tcPr>
          <w:p w14:paraId="684E7E6C" w14:textId="614A5036" w:rsidR="007D1766" w:rsidRPr="00214A63" w:rsidRDefault="007D1766" w:rsidP="007D1766">
            <w:pPr>
              <w:rPr>
                <w:sz w:val="20"/>
                <w:szCs w:val="20"/>
              </w:rPr>
            </w:pPr>
            <w:r w:rsidRPr="00214A63">
              <w:rPr>
                <w:sz w:val="20"/>
                <w:szCs w:val="20"/>
              </w:rPr>
              <w:t>2.7 ± 1.7</w:t>
            </w:r>
          </w:p>
        </w:tc>
        <w:tc>
          <w:tcPr>
            <w:tcW w:w="1379" w:type="dxa"/>
          </w:tcPr>
          <w:p w14:paraId="2654E6C1" w14:textId="27CC46B9" w:rsidR="007D1766" w:rsidRPr="00214A63" w:rsidRDefault="007D1766" w:rsidP="007D1766">
            <w:pPr>
              <w:rPr>
                <w:sz w:val="20"/>
                <w:szCs w:val="20"/>
              </w:rPr>
            </w:pPr>
            <w:r w:rsidRPr="00214A63">
              <w:rPr>
                <w:sz w:val="20"/>
                <w:szCs w:val="20"/>
              </w:rPr>
              <w:t>1.8 ± 3.7</w:t>
            </w:r>
          </w:p>
        </w:tc>
        <w:tc>
          <w:tcPr>
            <w:tcW w:w="1379" w:type="dxa"/>
          </w:tcPr>
          <w:p w14:paraId="222534B6" w14:textId="4CC8C31C" w:rsidR="007D1766" w:rsidRPr="00214A63" w:rsidRDefault="007D1766" w:rsidP="007D1766">
            <w:pPr>
              <w:rPr>
                <w:sz w:val="20"/>
                <w:szCs w:val="20"/>
              </w:rPr>
            </w:pPr>
            <w:r w:rsidRPr="00214A63">
              <w:rPr>
                <w:sz w:val="20"/>
                <w:szCs w:val="20"/>
              </w:rPr>
              <w:t>4.0</w:t>
            </w:r>
          </w:p>
        </w:tc>
        <w:tc>
          <w:tcPr>
            <w:tcW w:w="1379" w:type="dxa"/>
          </w:tcPr>
          <w:p w14:paraId="0863DF3F" w14:textId="2163BAF3" w:rsidR="007D1766" w:rsidRPr="00214A63" w:rsidRDefault="007D1766" w:rsidP="007D1766">
            <w:pPr>
              <w:rPr>
                <w:sz w:val="20"/>
                <w:szCs w:val="20"/>
              </w:rPr>
            </w:pPr>
            <w:r w:rsidRPr="00214A63">
              <w:rPr>
                <w:sz w:val="20"/>
                <w:szCs w:val="20"/>
              </w:rPr>
              <w:t>4.7</w:t>
            </w:r>
          </w:p>
        </w:tc>
        <w:tc>
          <w:tcPr>
            <w:tcW w:w="1379" w:type="dxa"/>
          </w:tcPr>
          <w:p w14:paraId="7A781F0B" w14:textId="3A712E72" w:rsidR="007D1766" w:rsidRPr="00214A63" w:rsidRDefault="007D1766" w:rsidP="007D1766">
            <w:pPr>
              <w:rPr>
                <w:sz w:val="20"/>
                <w:szCs w:val="20"/>
              </w:rPr>
            </w:pPr>
            <w:r w:rsidRPr="00214A63">
              <w:rPr>
                <w:sz w:val="20"/>
                <w:szCs w:val="20"/>
              </w:rPr>
              <w:t>2.1</w:t>
            </w:r>
          </w:p>
        </w:tc>
      </w:tr>
      <w:tr w:rsidR="007D1766" w14:paraId="3758D590" w14:textId="77777777" w:rsidTr="005C6ADF">
        <w:tc>
          <w:tcPr>
            <w:tcW w:w="2122" w:type="dxa"/>
          </w:tcPr>
          <w:p w14:paraId="7AADCEFD" w14:textId="0E380D99" w:rsidR="007D1766" w:rsidRPr="00214A63" w:rsidRDefault="007D1766" w:rsidP="007D1766">
            <w:pPr>
              <w:rPr>
                <w:sz w:val="20"/>
                <w:szCs w:val="20"/>
              </w:rPr>
            </w:pPr>
            <w:r w:rsidRPr="00214A63">
              <w:rPr>
                <w:sz w:val="20"/>
                <w:szCs w:val="20"/>
              </w:rPr>
              <w:t>Margarine/spread</w:t>
            </w:r>
          </w:p>
        </w:tc>
        <w:tc>
          <w:tcPr>
            <w:tcW w:w="1378" w:type="dxa"/>
          </w:tcPr>
          <w:p w14:paraId="78EAACC7" w14:textId="1D2B679C" w:rsidR="007D1766" w:rsidRPr="00214A63" w:rsidRDefault="007D1766" w:rsidP="007D1766">
            <w:pPr>
              <w:rPr>
                <w:sz w:val="20"/>
                <w:szCs w:val="20"/>
              </w:rPr>
            </w:pPr>
            <w:r w:rsidRPr="00214A63">
              <w:rPr>
                <w:sz w:val="20"/>
                <w:szCs w:val="20"/>
              </w:rPr>
              <w:t>1.9 ± 0.7</w:t>
            </w:r>
          </w:p>
        </w:tc>
        <w:tc>
          <w:tcPr>
            <w:tcW w:w="1379" w:type="dxa"/>
          </w:tcPr>
          <w:p w14:paraId="5DF34BA6" w14:textId="6741019E" w:rsidR="007D1766" w:rsidRPr="00214A63" w:rsidRDefault="007D1766" w:rsidP="007D1766">
            <w:pPr>
              <w:rPr>
                <w:sz w:val="20"/>
                <w:szCs w:val="20"/>
              </w:rPr>
            </w:pPr>
            <w:r w:rsidRPr="00214A63">
              <w:rPr>
                <w:sz w:val="20"/>
                <w:szCs w:val="20"/>
              </w:rPr>
              <w:t>2.7 ± 7.2</w:t>
            </w:r>
          </w:p>
        </w:tc>
        <w:tc>
          <w:tcPr>
            <w:tcW w:w="1379" w:type="dxa"/>
          </w:tcPr>
          <w:p w14:paraId="59A9F4CC" w14:textId="5D35F2CE" w:rsidR="007D1766" w:rsidRPr="00214A63" w:rsidRDefault="007D1766" w:rsidP="007D1766">
            <w:pPr>
              <w:rPr>
                <w:sz w:val="20"/>
                <w:szCs w:val="20"/>
              </w:rPr>
            </w:pPr>
            <w:r w:rsidRPr="00214A63">
              <w:rPr>
                <w:sz w:val="20"/>
                <w:szCs w:val="20"/>
              </w:rPr>
              <w:t>0.7</w:t>
            </w:r>
          </w:p>
        </w:tc>
        <w:tc>
          <w:tcPr>
            <w:tcW w:w="1379" w:type="dxa"/>
          </w:tcPr>
          <w:p w14:paraId="6821199D" w14:textId="26CF71F2" w:rsidR="007D1766" w:rsidRPr="00214A63" w:rsidRDefault="007D1766" w:rsidP="007D1766">
            <w:pPr>
              <w:rPr>
                <w:sz w:val="20"/>
                <w:szCs w:val="20"/>
              </w:rPr>
            </w:pPr>
            <w:r w:rsidRPr="00214A63">
              <w:rPr>
                <w:sz w:val="20"/>
                <w:szCs w:val="20"/>
              </w:rPr>
              <w:t>1.4</w:t>
            </w:r>
          </w:p>
        </w:tc>
        <w:tc>
          <w:tcPr>
            <w:tcW w:w="1379" w:type="dxa"/>
          </w:tcPr>
          <w:p w14:paraId="58E07E44" w14:textId="4D633508" w:rsidR="007D1766" w:rsidRPr="00214A63" w:rsidRDefault="007D1766" w:rsidP="007D1766">
            <w:pPr>
              <w:rPr>
                <w:sz w:val="20"/>
                <w:szCs w:val="20"/>
              </w:rPr>
            </w:pPr>
            <w:r w:rsidRPr="00214A63">
              <w:rPr>
                <w:sz w:val="20"/>
                <w:szCs w:val="20"/>
              </w:rPr>
              <w:t>0.2</w:t>
            </w:r>
          </w:p>
        </w:tc>
      </w:tr>
    </w:tbl>
    <w:p w14:paraId="2546FDD3" w14:textId="77777777" w:rsidR="00042FB3" w:rsidRDefault="00042FB3" w:rsidP="4F93ADCF"/>
    <w:p w14:paraId="470F76EE" w14:textId="57DF1C21" w:rsidR="00C90DAE" w:rsidRDefault="00C90DAE" w:rsidP="4F93ADCF">
      <w:r w:rsidRPr="00C90DAE">
        <w:t>In 2017</w:t>
      </w:r>
      <w:r>
        <w:t>, FSANZ and the New Zealand Ministry for Primary Industries provided a report</w:t>
      </w:r>
      <w:r w:rsidR="00046068">
        <w:rPr>
          <w:rStyle w:val="FootnoteReference"/>
        </w:rPr>
        <w:footnoteReference w:id="123"/>
      </w:r>
      <w:r>
        <w:t xml:space="preserve"> to Forum Ministers about </w:t>
      </w:r>
      <w:proofErr w:type="spellStart"/>
      <w:r>
        <w:t>trans fat</w:t>
      </w:r>
      <w:proofErr w:type="spellEnd"/>
      <w:r>
        <w:t xml:space="preserve"> levels in imported oils. The report found that there </w:t>
      </w:r>
      <w:r w:rsidR="00EB37C0">
        <w:t>h</w:t>
      </w:r>
      <w:r>
        <w:t>as been a significant decline in the importation of vegetable fats and oils with the potential to contain trans fats into Australia and New Zealand</w:t>
      </w:r>
      <w:r w:rsidR="00852A01">
        <w:t xml:space="preserve">. </w:t>
      </w:r>
      <w:r w:rsidR="00D103A1">
        <w:t>Also</w:t>
      </w:r>
      <w:r>
        <w:t xml:space="preserve">, levels of trans fats reported on product labels and industry specifications </w:t>
      </w:r>
      <w:r w:rsidR="00D213F8">
        <w:t>we</w:t>
      </w:r>
      <w:r>
        <w:t xml:space="preserve">re consistent with </w:t>
      </w:r>
      <w:r w:rsidR="00D213F8">
        <w:t>previous (</w:t>
      </w:r>
      <w:r>
        <w:t>2006-2013</w:t>
      </w:r>
      <w:r w:rsidR="00D213F8">
        <w:t>)</w:t>
      </w:r>
      <w:r>
        <w:t xml:space="preserve"> trans fats analysis. The report concluded that this evidence indicates that dietary intakes of trans fats have </w:t>
      </w:r>
      <w:r w:rsidR="004B0842">
        <w:t>continued to reduce over time.</w:t>
      </w:r>
    </w:p>
    <w:p w14:paraId="1A80D3E5" w14:textId="653E65A6" w:rsidR="00AC26F8" w:rsidRPr="00C90DAE" w:rsidRDefault="00AC26F8" w:rsidP="4F93ADCF">
      <w:r>
        <w:t xml:space="preserve">An analysis of </w:t>
      </w:r>
      <w:r w:rsidR="0090641F">
        <w:t>the presence of trans fat</w:t>
      </w:r>
      <w:r>
        <w:t xml:space="preserve"> containing ingredients in pre-packaged foods in Australia in 2018</w:t>
      </w:r>
      <w:r>
        <w:rPr>
          <w:rStyle w:val="FootnoteReference"/>
        </w:rPr>
        <w:footnoteReference w:id="124"/>
      </w:r>
      <w:r w:rsidR="0090641F">
        <w:t xml:space="preserve"> reported that out of a total of 28,349 foods, 131 (0.5%) products contained specific ingredients indicative of manufactured trans fats. A further 1,626 (5.7%) products contained non-specific ingredients that may indicate the presence of manufactured trans fats. </w:t>
      </w:r>
      <w:r w:rsidR="0090641F" w:rsidRPr="0090641F">
        <w:t xml:space="preserve">Bread and bakery products, cereal and grain products and confectionery were the top three food groups that contained specific </w:t>
      </w:r>
      <w:r w:rsidR="0090641F">
        <w:t xml:space="preserve">ingredients indicative of manufactured trans fats. This analysis indicates that prevalence of trans fats in Australian foods is low, however, </w:t>
      </w:r>
      <w:r w:rsidR="0090641F">
        <w:lastRenderedPageBreak/>
        <w:t xml:space="preserve">it is relevant to note that the analysis did not include </w:t>
      </w:r>
      <w:r w:rsidR="00852A01">
        <w:t>un</w:t>
      </w:r>
      <w:r w:rsidR="0090641F">
        <w:t xml:space="preserve">packaged foods such as bakery products which can potentially contain trans fats. </w:t>
      </w:r>
    </w:p>
    <w:p w14:paraId="79E3E5B9" w14:textId="292E4F9A" w:rsidR="003B5E2D" w:rsidRPr="00453DEB" w:rsidRDefault="003B5E2D" w:rsidP="00453DEB">
      <w:pPr>
        <w:pStyle w:val="Heading4"/>
      </w:pPr>
      <w:r w:rsidRPr="00453DEB">
        <w:rPr>
          <w:rStyle w:val="Heading5Char"/>
        </w:rPr>
        <w:t>Assessment</w:t>
      </w:r>
    </w:p>
    <w:p w14:paraId="0A51C7E2" w14:textId="7321FC95" w:rsidR="00FC7ED5" w:rsidRDefault="005220FD" w:rsidP="4F93ADCF">
      <w:r w:rsidRPr="00C843A1">
        <w:t>Consumption of trans fats ha</w:t>
      </w:r>
      <w:r w:rsidR="70277DC1" w:rsidRPr="00C843A1">
        <w:t>s</w:t>
      </w:r>
      <w:r w:rsidRPr="00C843A1">
        <w:t xml:space="preserve"> been directly linked to cardiovascular mortality</w:t>
      </w:r>
      <w:r w:rsidR="00CA0A23" w:rsidRPr="00C843A1">
        <w:t xml:space="preserve"> and </w:t>
      </w:r>
      <w:r w:rsidR="001D2369" w:rsidRPr="00C843A1">
        <w:t xml:space="preserve">internationally, </w:t>
      </w:r>
      <w:r w:rsidR="00CA0A23" w:rsidRPr="00C843A1">
        <w:t xml:space="preserve">compositional limits </w:t>
      </w:r>
      <w:r w:rsidR="001D2369" w:rsidRPr="00C843A1">
        <w:t>or</w:t>
      </w:r>
      <w:r w:rsidR="00CA0A23" w:rsidRPr="00C843A1">
        <w:t xml:space="preserve"> ban</w:t>
      </w:r>
      <w:r w:rsidR="001D2369" w:rsidRPr="00C843A1">
        <w:t>s on use of</w:t>
      </w:r>
      <w:r w:rsidR="00CA0A23" w:rsidRPr="00C843A1">
        <w:t xml:space="preserve"> trans fats have demonstrated benefits in population health outcomes</w:t>
      </w:r>
      <w:r w:rsidR="001D2369" w:rsidRPr="00C843A1">
        <w:t xml:space="preserve"> in reducing cardiovascular disease mortality</w:t>
      </w:r>
      <w:r w:rsidRPr="00C843A1">
        <w:t xml:space="preserve">. </w:t>
      </w:r>
    </w:p>
    <w:p w14:paraId="43665304" w14:textId="780DE1F5" w:rsidR="00062227" w:rsidRPr="00C843A1" w:rsidRDefault="00223F60" w:rsidP="4F93ADCF">
      <w:r>
        <w:t>Denmark was the first country to introduce compositional limits for trans fats</w:t>
      </w:r>
      <w:r w:rsidR="00834B3C">
        <w:t xml:space="preserve"> in 2004</w:t>
      </w:r>
      <w:r w:rsidR="00834B3C">
        <w:rPr>
          <w:rStyle w:val="FootnoteReference"/>
        </w:rPr>
        <w:footnoteReference w:id="125"/>
      </w:r>
      <w:r w:rsidR="00834B3C">
        <w:t xml:space="preserve"> and has since demonstrated significant reductions </w:t>
      </w:r>
      <w:r w:rsidR="00834B3C" w:rsidRPr="003207EE">
        <w:t>in cardiovascular mortality</w:t>
      </w:r>
      <w:r w:rsidR="00875F8E" w:rsidRPr="003207EE">
        <w:rPr>
          <w:rStyle w:val="FootnoteReference"/>
        </w:rPr>
        <w:footnoteReference w:id="126"/>
      </w:r>
      <w:r w:rsidR="00834B3C" w:rsidRPr="003207EE">
        <w:t>.</w:t>
      </w:r>
      <w:r w:rsidR="00834B3C">
        <w:t xml:space="preserve"> </w:t>
      </w:r>
      <w:r>
        <w:t xml:space="preserve">While Denmark </w:t>
      </w:r>
      <w:r w:rsidR="00834B3C">
        <w:t>initially</w:t>
      </w:r>
      <w:r>
        <w:t xml:space="preserve"> achieved</w:t>
      </w:r>
      <w:r w:rsidR="00062227">
        <w:t xml:space="preserve"> significant</w:t>
      </w:r>
      <w:r>
        <w:t xml:space="preserve"> reductions in trans fats in the food supply through voluntary reformulation, compositional limits were introduced based on evidence that vulnerable population groups continued to consume high levels of trans fats. The voluntary reformulation actions had led to acceptance of trans fat reformulation, the technology needed to reformulate and industry buy-in and engagement</w:t>
      </w:r>
      <w:r w:rsidR="00834B3C">
        <w:t xml:space="preserve"> which facilitated the introduction of mandatory compositional limits. </w:t>
      </w:r>
      <w:r w:rsidR="00062227">
        <w:t xml:space="preserve">The mandatory </w:t>
      </w:r>
      <w:proofErr w:type="spellStart"/>
      <w:r w:rsidR="00062227">
        <w:t>trans fat</w:t>
      </w:r>
      <w:proofErr w:type="spellEnd"/>
      <w:r w:rsidR="00062227">
        <w:t xml:space="preserve"> limit was selected above other interventions</w:t>
      </w:r>
      <w:r w:rsidR="00F824D9">
        <w:t>,</w:t>
      </w:r>
      <w:r w:rsidR="00062227">
        <w:t xml:space="preserve"> as approaches such as labelling or health promotion campaigns were determined to be ineffective </w:t>
      </w:r>
      <w:r w:rsidR="00F824D9">
        <w:t>in</w:t>
      </w:r>
      <w:r w:rsidR="00062227">
        <w:t xml:space="preserve"> address</w:t>
      </w:r>
      <w:r w:rsidR="00F824D9">
        <w:t>ing</w:t>
      </w:r>
      <w:r w:rsidR="00062227">
        <w:t xml:space="preserve"> high </w:t>
      </w:r>
      <w:proofErr w:type="spellStart"/>
      <w:r w:rsidR="00062227">
        <w:t>trans fat</w:t>
      </w:r>
      <w:proofErr w:type="spellEnd"/>
      <w:r w:rsidR="00062227">
        <w:t xml:space="preserve"> consumption in vulnerable populations, and </w:t>
      </w:r>
      <w:proofErr w:type="spellStart"/>
      <w:r w:rsidR="00062227">
        <w:t>trans fat</w:t>
      </w:r>
      <w:proofErr w:type="spellEnd"/>
      <w:r w:rsidR="00062227">
        <w:t xml:space="preserve"> content of unpackaged food such as takeaway products</w:t>
      </w:r>
      <w:r w:rsidR="00062227">
        <w:rPr>
          <w:rStyle w:val="FootnoteReference"/>
        </w:rPr>
        <w:footnoteReference w:id="127"/>
      </w:r>
      <w:r w:rsidR="00062227">
        <w:t xml:space="preserve">. </w:t>
      </w:r>
    </w:p>
    <w:p w14:paraId="7402E771" w14:textId="08FCF56D" w:rsidR="00A3328B" w:rsidRPr="00110EB0" w:rsidRDefault="00062227" w:rsidP="4F93ADCF">
      <w:r w:rsidRPr="00110EB0">
        <w:t>In Australia and New Zealand, m</w:t>
      </w:r>
      <w:r w:rsidR="005967AB" w:rsidRPr="00110EB0">
        <w:t>ean consumption of trans fats is within WHO advice</w:t>
      </w:r>
      <w:r w:rsidR="00C70A25" w:rsidRPr="00110EB0">
        <w:t xml:space="preserve">, </w:t>
      </w:r>
      <w:r w:rsidR="00A3328B" w:rsidRPr="00110EB0">
        <w:rPr>
          <w:rFonts w:eastAsia="Times New Roman"/>
        </w:rPr>
        <w:t>h</w:t>
      </w:r>
      <w:r w:rsidR="00A3328B" w:rsidRPr="00110EB0">
        <w:t>owever, modelling evidence (based on 2011</w:t>
      </w:r>
      <w:r w:rsidR="00983CE7">
        <w:t>-</w:t>
      </w:r>
      <w:r w:rsidR="00A3328B" w:rsidRPr="00110EB0">
        <w:t>12 data) indicates that in Australia (</w:t>
      </w:r>
      <w:proofErr w:type="gramStart"/>
      <w:r w:rsidR="00A3328B" w:rsidRPr="00110EB0">
        <w:t>similar to</w:t>
      </w:r>
      <w:proofErr w:type="gramEnd"/>
      <w:r w:rsidR="00A3328B" w:rsidRPr="00110EB0">
        <w:t xml:space="preserve"> Denmark) certain vulnerable population group may be exceeding the WHO recommendation. </w:t>
      </w:r>
    </w:p>
    <w:p w14:paraId="39CCF0B1" w14:textId="5D20ABE7" w:rsidR="007F50E5" w:rsidRPr="00110EB0" w:rsidRDefault="00A3328B" w:rsidP="4F93ADCF">
      <w:r w:rsidRPr="00110EB0">
        <w:t>T</w:t>
      </w:r>
      <w:r w:rsidR="00C70A25" w:rsidRPr="00110EB0">
        <w:rPr>
          <w:rFonts w:eastAsia="Times New Roman"/>
        </w:rPr>
        <w:t xml:space="preserve">he major sources of trans fats in Australia and New Zealand </w:t>
      </w:r>
      <w:r w:rsidRPr="00110EB0">
        <w:rPr>
          <w:rFonts w:eastAsia="Times New Roman"/>
        </w:rPr>
        <w:t>are</w:t>
      </w:r>
      <w:r w:rsidR="00C70A25" w:rsidRPr="00110EB0">
        <w:rPr>
          <w:rFonts w:eastAsia="Times New Roman"/>
        </w:rPr>
        <w:t xml:space="preserve"> ruminant sources</w:t>
      </w:r>
      <w:r w:rsidR="00C70A25" w:rsidRPr="00110EB0">
        <w:rPr>
          <w:rStyle w:val="FootnoteReference"/>
          <w:rFonts w:eastAsia="Times New Roman"/>
        </w:rPr>
        <w:footnoteReference w:id="128"/>
      </w:r>
      <w:r w:rsidR="006B5296" w:rsidRPr="00110EB0">
        <w:rPr>
          <w:rFonts w:eastAsia="Times New Roman"/>
        </w:rPr>
        <w:t xml:space="preserve">. Ruminant sources of trans fats </w:t>
      </w:r>
      <w:r w:rsidR="00C70A25" w:rsidRPr="00110EB0">
        <w:rPr>
          <w:rFonts w:eastAsia="Times New Roman"/>
        </w:rPr>
        <w:t xml:space="preserve">are not able to be reduced by changes in industry practices, other than through the availability of reduced fat dairy products, trimming of beef and lamb cuts, and less use of ruminant ingredients in mixed foods. </w:t>
      </w:r>
    </w:p>
    <w:p w14:paraId="335A1F20" w14:textId="0C7DF664" w:rsidR="007F50E5" w:rsidRPr="00110EB0" w:rsidRDefault="0042353F" w:rsidP="4F93ADCF">
      <w:r w:rsidRPr="00110EB0">
        <w:rPr>
          <w:rFonts w:eastAsia="Times New Roman"/>
        </w:rPr>
        <w:t xml:space="preserve">Recent (2017) monitoring of fats and oils imported into Australia and New Zealand reports there has been a significant decline in the importation of vegetable fats and oils with the potential to contain trans fats. </w:t>
      </w:r>
      <w:proofErr w:type="gramStart"/>
      <w:r w:rsidR="00A3328B" w:rsidRPr="00110EB0">
        <w:t>The majority of</w:t>
      </w:r>
      <w:proofErr w:type="gramEnd"/>
      <w:r w:rsidR="00A3328B" w:rsidRPr="00110EB0">
        <w:t xml:space="preserve"> the products in Australia that exceed the 2% </w:t>
      </w:r>
      <w:proofErr w:type="spellStart"/>
      <w:r w:rsidR="00A3328B" w:rsidRPr="00110EB0">
        <w:t>trans fat</w:t>
      </w:r>
      <w:proofErr w:type="spellEnd"/>
      <w:r w:rsidR="00A3328B" w:rsidRPr="00110EB0">
        <w:t xml:space="preserve"> international compositional limits consist of manufactured trans fats.</w:t>
      </w:r>
      <w:r w:rsidRPr="00110EB0">
        <w:t xml:space="preserve"> </w:t>
      </w:r>
    </w:p>
    <w:p w14:paraId="767DAB31" w14:textId="7444ECFB" w:rsidR="00965DB6" w:rsidRPr="00B47AB0" w:rsidRDefault="00834B3C" w:rsidP="4F93ADCF">
      <w:r w:rsidRPr="00110EB0">
        <w:t>Research suggests that legislative actions to reduce trans fats in the food supply are more effective than voluntary measures</w:t>
      </w:r>
      <w:r w:rsidRPr="00110EB0">
        <w:rPr>
          <w:rStyle w:val="FootnoteReference"/>
        </w:rPr>
        <w:footnoteReference w:id="129"/>
      </w:r>
      <w:r w:rsidRPr="00110EB0">
        <w:t xml:space="preserve"> and bans on use of trans fats in the food supply are more </w:t>
      </w:r>
      <w:r w:rsidRPr="00110EB0">
        <w:lastRenderedPageBreak/>
        <w:t>effective than mandatory or voluntary labelling</w:t>
      </w:r>
      <w:r w:rsidRPr="00110EB0">
        <w:rPr>
          <w:rStyle w:val="FootnoteReference"/>
        </w:rPr>
        <w:footnoteReference w:id="130"/>
      </w:r>
      <w:r w:rsidRPr="00110EB0">
        <w:t xml:space="preserve">. </w:t>
      </w:r>
      <w:r w:rsidR="00575A8C" w:rsidRPr="00110EB0">
        <w:t>Regulatory compositional changes</w:t>
      </w:r>
      <w:r w:rsidR="00B43CF1" w:rsidRPr="00110EB0">
        <w:t xml:space="preserve"> </w:t>
      </w:r>
      <w:r w:rsidR="0074430D" w:rsidRPr="00110EB0">
        <w:t>for</w:t>
      </w:r>
      <w:r w:rsidR="008A0001" w:rsidRPr="00110EB0">
        <w:t xml:space="preserve"> industrially produced</w:t>
      </w:r>
      <w:r w:rsidR="0074430D" w:rsidRPr="00110EB0">
        <w:t xml:space="preserve"> trans fat</w:t>
      </w:r>
      <w:r w:rsidR="34F494B9" w:rsidRPr="00110EB0">
        <w:t>s</w:t>
      </w:r>
      <w:r w:rsidR="0074430D" w:rsidRPr="00110EB0">
        <w:t xml:space="preserve"> has potential to support health outcomes</w:t>
      </w:r>
      <w:r w:rsidR="005220FD" w:rsidRPr="00110EB0">
        <w:t xml:space="preserve"> particularly</w:t>
      </w:r>
      <w:r w:rsidR="0074430D" w:rsidRPr="00110EB0">
        <w:t xml:space="preserve"> in groups with lower socio</w:t>
      </w:r>
      <w:r w:rsidR="20998F2A" w:rsidRPr="00110EB0">
        <w:t>-</w:t>
      </w:r>
      <w:r w:rsidR="0074430D" w:rsidRPr="00110EB0">
        <w:t>economic status or lower education levels</w:t>
      </w:r>
      <w:r w:rsidR="00C70A25" w:rsidRPr="00110EB0">
        <w:t>, which have both higher intakes of trans fats and bear a higher burden of cardiovascular disease</w:t>
      </w:r>
      <w:r w:rsidR="00C70A25" w:rsidRPr="00110EB0">
        <w:rPr>
          <w:rStyle w:val="FootnoteReference"/>
        </w:rPr>
        <w:footnoteReference w:id="131"/>
      </w:r>
      <w:r w:rsidR="0074430D" w:rsidRPr="00110EB0">
        <w:t xml:space="preserve">. </w:t>
      </w:r>
      <w:r w:rsidR="005220FD" w:rsidRPr="00110EB0">
        <w:t xml:space="preserve">These groups may be less </w:t>
      </w:r>
      <w:r w:rsidR="00362079" w:rsidRPr="00110EB0">
        <w:t>receptive</w:t>
      </w:r>
      <w:r w:rsidR="005220FD" w:rsidRPr="00110EB0">
        <w:t xml:space="preserve"> to public health campaigns</w:t>
      </w:r>
      <w:r w:rsidR="00B30DAD" w:rsidRPr="00110EB0">
        <w:rPr>
          <w:rStyle w:val="FootnoteReference"/>
        </w:rPr>
        <w:footnoteReference w:id="132"/>
      </w:r>
      <w:r w:rsidR="005220FD" w:rsidRPr="00110EB0">
        <w:t>, or have difficulty reading food</w:t>
      </w:r>
      <w:r w:rsidR="005220FD" w:rsidRPr="00B47AB0">
        <w:t xml:space="preserve"> labels</w:t>
      </w:r>
      <w:r w:rsidR="00B30DAD" w:rsidRPr="00B47AB0">
        <w:rPr>
          <w:rStyle w:val="FootnoteReference"/>
        </w:rPr>
        <w:footnoteReference w:id="133"/>
      </w:r>
      <w:r w:rsidR="00EC551C" w:rsidRPr="00B47AB0">
        <w:t>.</w:t>
      </w:r>
      <w:r w:rsidR="005220FD" w:rsidRPr="00B47AB0">
        <w:t xml:space="preserve"> (</w:t>
      </w:r>
      <w:r w:rsidR="006E73E9" w:rsidRPr="00B47AB0">
        <w:t>N</w:t>
      </w:r>
      <w:r w:rsidR="005220FD" w:rsidRPr="00B47AB0">
        <w:t>ot</w:t>
      </w:r>
      <w:r w:rsidR="00EC551C" w:rsidRPr="00B47AB0">
        <w:t>e</w:t>
      </w:r>
      <w:r w:rsidR="005220FD" w:rsidRPr="00B47AB0">
        <w:t xml:space="preserve"> that trans fat</w:t>
      </w:r>
      <w:r w:rsidR="7380545C" w:rsidRPr="00B47AB0">
        <w:t>s</w:t>
      </w:r>
      <w:r w:rsidR="005220FD" w:rsidRPr="00B47AB0">
        <w:t xml:space="preserve"> </w:t>
      </w:r>
      <w:r w:rsidRPr="00B47AB0">
        <w:t>a</w:t>
      </w:r>
      <w:r w:rsidR="1CD726A2" w:rsidRPr="00B47AB0">
        <w:t xml:space="preserve">re </w:t>
      </w:r>
      <w:r w:rsidR="005220FD" w:rsidRPr="00B47AB0">
        <w:t>not required to be labelled</w:t>
      </w:r>
      <w:r w:rsidR="008A0001" w:rsidRPr="00B47AB0">
        <w:t xml:space="preserve"> in Australia and New Zealand and</w:t>
      </w:r>
      <w:r w:rsidR="5891E5B8" w:rsidRPr="00B47AB0">
        <w:t>,</w:t>
      </w:r>
      <w:r w:rsidR="008A0001" w:rsidRPr="00B47AB0">
        <w:t xml:space="preserve"> even if labelling was required</w:t>
      </w:r>
      <w:r w:rsidR="15C0A84E" w:rsidRPr="00B47AB0">
        <w:t>,</w:t>
      </w:r>
      <w:r w:rsidR="008A0001" w:rsidRPr="00B47AB0">
        <w:t xml:space="preserve"> </w:t>
      </w:r>
      <w:r w:rsidR="003C019B" w:rsidRPr="00B47AB0">
        <w:t xml:space="preserve">it is unclear whether </w:t>
      </w:r>
      <w:r w:rsidR="008A0001" w:rsidRPr="00B47AB0">
        <w:t xml:space="preserve">foods likely to contain industrially produced trans fats such as baked goods and fried foods </w:t>
      </w:r>
      <w:r w:rsidR="003C019B" w:rsidRPr="00B47AB0">
        <w:t>would</w:t>
      </w:r>
      <w:r w:rsidR="008A0001" w:rsidRPr="00B47AB0">
        <w:t xml:space="preserve"> require </w:t>
      </w:r>
      <w:r w:rsidR="003C019B" w:rsidRPr="00B47AB0">
        <w:t xml:space="preserve">such </w:t>
      </w:r>
      <w:r w:rsidR="008A0001" w:rsidRPr="00B47AB0">
        <w:t>a label</w:t>
      </w:r>
      <w:r w:rsidR="005220FD" w:rsidRPr="00B47AB0">
        <w:t xml:space="preserve">). </w:t>
      </w:r>
    </w:p>
    <w:p w14:paraId="4E1D7055" w14:textId="789FCC5E" w:rsidR="008A0001" w:rsidRDefault="008A0001" w:rsidP="0074430D">
      <w:r w:rsidRPr="00B47AB0">
        <w:t xml:space="preserve">Voluntary </w:t>
      </w:r>
      <w:r w:rsidR="00502946" w:rsidRPr="00B47AB0">
        <w:t>targets to reduce trans fats in foods</w:t>
      </w:r>
      <w:r w:rsidRPr="00B47AB0">
        <w:t xml:space="preserve"> </w:t>
      </w:r>
      <w:r w:rsidR="00F51612" w:rsidRPr="00B47AB0">
        <w:t>may be adopted disproportionately across the food supply</w:t>
      </w:r>
      <w:r w:rsidR="00F51612" w:rsidRPr="00B47AB0">
        <w:rPr>
          <w:rStyle w:val="FootnoteReference"/>
        </w:rPr>
        <w:footnoteReference w:id="134"/>
      </w:r>
      <w:r w:rsidR="00F51612" w:rsidRPr="00B47AB0">
        <w:t xml:space="preserve">, requiring consumers to have the </w:t>
      </w:r>
      <w:r w:rsidR="00C51497" w:rsidRPr="00B47AB0">
        <w:t>appropriate</w:t>
      </w:r>
      <w:r w:rsidR="00F51612" w:rsidRPr="00B47AB0">
        <w:t xml:space="preserve"> nutrition knowledge</w:t>
      </w:r>
      <w:r w:rsidR="00E30347" w:rsidRPr="00B47AB0">
        <w:t>, literacy</w:t>
      </w:r>
      <w:r w:rsidR="00F51612" w:rsidRPr="00B47AB0">
        <w:t xml:space="preserve"> and skills to actively select foods that have low or no </w:t>
      </w:r>
      <w:proofErr w:type="spellStart"/>
      <w:r w:rsidR="00F51612" w:rsidRPr="00B47AB0">
        <w:t>trans fat</w:t>
      </w:r>
      <w:proofErr w:type="spellEnd"/>
      <w:r w:rsidR="00F51612" w:rsidRPr="00B47AB0">
        <w:t>. This may be challenging for consumers with lower education or socioeconomic st</w:t>
      </w:r>
      <w:r w:rsidR="00352E23" w:rsidRPr="00B47AB0">
        <w:t xml:space="preserve">atus, </w:t>
      </w:r>
      <w:r w:rsidR="00F51612" w:rsidRPr="00B47AB0">
        <w:t xml:space="preserve">who are estimated to have higher consumption of trans fats and would benefit most from measures to reduce </w:t>
      </w:r>
      <w:proofErr w:type="spellStart"/>
      <w:r w:rsidR="00F51612" w:rsidRPr="00B47AB0">
        <w:t>trans fat</w:t>
      </w:r>
      <w:proofErr w:type="spellEnd"/>
      <w:r w:rsidR="00F51612" w:rsidRPr="00B47AB0">
        <w:t xml:space="preserve"> in the food supply. </w:t>
      </w:r>
      <w:r w:rsidR="00E30347" w:rsidRPr="00B47AB0">
        <w:t>Products that have been reformulated to reduce trans fats may also be more expensive</w:t>
      </w:r>
      <w:r w:rsidR="00E30347" w:rsidRPr="00B47AB0">
        <w:rPr>
          <w:rStyle w:val="FootnoteReference"/>
        </w:rPr>
        <w:footnoteReference w:id="135"/>
      </w:r>
      <w:r w:rsidR="00E30347" w:rsidRPr="00B47AB0">
        <w:t xml:space="preserve"> and therefore unattainable to consumers with limited food budgets.</w:t>
      </w:r>
    </w:p>
    <w:p w14:paraId="312C2140" w14:textId="38C0FDF5" w:rsidR="001D2369" w:rsidRDefault="001D2369" w:rsidP="00453DEB">
      <w:pPr>
        <w:pStyle w:val="Heading4"/>
        <w:rPr>
          <w:highlight w:val="yellow"/>
        </w:rPr>
      </w:pPr>
      <w:r w:rsidRPr="009C408D">
        <w:t>Conclusion</w:t>
      </w:r>
    </w:p>
    <w:p w14:paraId="649E8354" w14:textId="2FC7A6C9" w:rsidR="00175C3A" w:rsidRDefault="00852A01" w:rsidP="3427A3ED">
      <w:r>
        <w:t xml:space="preserve">Trans fats do not appear to be a concern for </w:t>
      </w:r>
      <w:proofErr w:type="gramStart"/>
      <w:r>
        <w:t>the majority of</w:t>
      </w:r>
      <w:proofErr w:type="gramEnd"/>
      <w:r>
        <w:t xml:space="preserve"> consumers in Australia and New Zealand a</w:t>
      </w:r>
      <w:r w:rsidR="00F509FC">
        <w:t>nd</w:t>
      </w:r>
      <w:r>
        <w:t xml:space="preserve"> voluntary efforts to remove or reduce trans fats in the food supply have been largely successful. Despite this, there are equity concerns as </w:t>
      </w:r>
      <w:r w:rsidR="00175C3A">
        <w:t xml:space="preserve">evidence indicates </w:t>
      </w:r>
      <w:r>
        <w:t xml:space="preserve">vulnerable populations in Australia </w:t>
      </w:r>
      <w:r w:rsidR="00175C3A">
        <w:t xml:space="preserve">may still be exceeding recommended </w:t>
      </w:r>
      <w:proofErr w:type="spellStart"/>
      <w:r w:rsidR="00175C3A">
        <w:t>trans fat</w:t>
      </w:r>
      <w:proofErr w:type="spellEnd"/>
      <w:r w:rsidR="00175C3A">
        <w:t xml:space="preserve"> limits. </w:t>
      </w:r>
      <w:r>
        <w:t>While work to improve the composition of the food supply in relation to trans fats may only affect a small p</w:t>
      </w:r>
      <w:r w:rsidR="00FD07CC">
        <w:t xml:space="preserve">roportion of food products, </w:t>
      </w:r>
      <w:r>
        <w:t xml:space="preserve">it is </w:t>
      </w:r>
      <w:r w:rsidR="00FD07CC">
        <w:t>proposed</w:t>
      </w:r>
      <w:r>
        <w:t xml:space="preserve"> this issue be explored further </w:t>
      </w:r>
      <w:r w:rsidR="00207A3E">
        <w:t xml:space="preserve">through the Food Regulation Policy Framework </w:t>
      </w:r>
      <w:r>
        <w:t xml:space="preserve">to identify whether additional actions may better protect vulnerable population groups. </w:t>
      </w:r>
    </w:p>
    <w:p w14:paraId="30777237" w14:textId="4BECBC56" w:rsidR="00527871" w:rsidRPr="003B5E2D" w:rsidRDefault="003B5E2D" w:rsidP="003B5E2D">
      <w:pPr>
        <w:pStyle w:val="Heading3"/>
        <w:rPr>
          <w:rStyle w:val="Heading4Char"/>
          <w:i w:val="0"/>
          <w:iCs w:val="0"/>
          <w:color w:val="1F4D78" w:themeColor="accent1" w:themeShade="7F"/>
        </w:rPr>
      </w:pPr>
      <w:bookmarkStart w:id="70" w:name="_Toc49506069"/>
      <w:bookmarkStart w:id="71" w:name="_Toc49506917"/>
      <w:bookmarkStart w:id="72" w:name="_Toc54273230"/>
      <w:r w:rsidRPr="003B5E2D">
        <w:rPr>
          <w:rStyle w:val="Heading4Char"/>
          <w:i w:val="0"/>
          <w:iCs w:val="0"/>
          <w:color w:val="1F4D78" w:themeColor="accent1" w:themeShade="7F"/>
        </w:rPr>
        <w:t>Sugars</w:t>
      </w:r>
      <w:bookmarkEnd w:id="70"/>
      <w:bookmarkEnd w:id="71"/>
      <w:bookmarkEnd w:id="72"/>
    </w:p>
    <w:p w14:paraId="2A613C28" w14:textId="77777777" w:rsidR="006215F4" w:rsidRDefault="002B68B5" w:rsidP="00DD65F7">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4438F9">
        <w:rPr>
          <w:u w:val="single"/>
        </w:rPr>
        <w:t>A note on terminology</w:t>
      </w:r>
      <w:r w:rsidR="00C6175B" w:rsidRPr="004438F9">
        <w:rPr>
          <w:u w:val="single"/>
        </w:rPr>
        <w:t>:</w:t>
      </w:r>
      <w:r>
        <w:t xml:space="preserve"> This section of the report uses the terms ‘added’ and ‘free’ sugars. </w:t>
      </w:r>
    </w:p>
    <w:p w14:paraId="5251E1BE" w14:textId="55B56143" w:rsidR="00C6175B" w:rsidRDefault="002B68B5" w:rsidP="00DD65F7">
      <w:pPr>
        <w:pBdr>
          <w:top w:val="single" w:sz="4" w:space="1" w:color="auto"/>
          <w:left w:val="single" w:sz="4" w:space="4" w:color="auto"/>
          <w:bottom w:val="single" w:sz="4" w:space="1" w:color="auto"/>
          <w:right w:val="single" w:sz="4" w:space="4" w:color="auto"/>
        </w:pBdr>
        <w:shd w:val="clear" w:color="auto" w:fill="D9D9D9" w:themeFill="background1" w:themeFillShade="D9"/>
      </w:pPr>
      <w:r>
        <w:t>The term ‘added sugars’ is used in th</w:t>
      </w:r>
      <w:r w:rsidR="004438F9">
        <w:t>e Australian Dietary Guidelines</w:t>
      </w:r>
      <w:r>
        <w:t xml:space="preserve"> and New Zealand Eating and Activity Guidelines, however, neither guideline provides a clear definition of </w:t>
      </w:r>
      <w:r w:rsidR="00C6175B">
        <w:t>‘</w:t>
      </w:r>
      <w:r>
        <w:t>added sugars</w:t>
      </w:r>
      <w:r w:rsidR="00C6175B">
        <w:t>’</w:t>
      </w:r>
      <w:r>
        <w:t xml:space="preserve"> or a recommended limit on consumption the of added sugars. </w:t>
      </w:r>
    </w:p>
    <w:p w14:paraId="64D1453A" w14:textId="25939470" w:rsidR="00C6175B" w:rsidRDefault="002B68B5" w:rsidP="00DD65F7">
      <w:pPr>
        <w:pBdr>
          <w:top w:val="single" w:sz="4" w:space="1" w:color="auto"/>
          <w:left w:val="single" w:sz="4" w:space="4" w:color="auto"/>
          <w:bottom w:val="single" w:sz="4" w:space="1" w:color="auto"/>
          <w:right w:val="single" w:sz="4" w:space="4" w:color="auto"/>
        </w:pBdr>
        <w:shd w:val="clear" w:color="auto" w:fill="D9D9D9" w:themeFill="background1" w:themeFillShade="D9"/>
      </w:pPr>
      <w:r>
        <w:lastRenderedPageBreak/>
        <w:t xml:space="preserve">Dietary advice from the WHO uses </w:t>
      </w:r>
      <w:r w:rsidR="006215F4">
        <w:t xml:space="preserve">and </w:t>
      </w:r>
      <w:r w:rsidR="003E1601">
        <w:t xml:space="preserve">clearly </w:t>
      </w:r>
      <w:r w:rsidR="006215F4">
        <w:t xml:space="preserve">defines </w:t>
      </w:r>
      <w:r>
        <w:t xml:space="preserve">the term, ‘free sugars’ and provides quantified recommendations on the limit for intake of free sugars to reduce the risk of unhealthy weight gain and dental caries. </w:t>
      </w:r>
      <w:r w:rsidR="00C6175B">
        <w:t>The WHO defines ‘free sugars’ as ‘monosaccha</w:t>
      </w:r>
      <w:r w:rsidR="00C6175B" w:rsidRPr="00C6175B">
        <w:t xml:space="preserve">rides and disaccharides added to foods </w:t>
      </w:r>
      <w:r w:rsidR="00C6175B">
        <w:t xml:space="preserve">and beverages </w:t>
      </w:r>
      <w:r w:rsidR="00C6175B" w:rsidRPr="00C6175B">
        <w:t xml:space="preserve">by the manufacturer, cook or consumer, </w:t>
      </w:r>
      <w:r w:rsidR="00C6175B">
        <w:t xml:space="preserve">and </w:t>
      </w:r>
      <w:r w:rsidR="00C6175B" w:rsidRPr="00C6175B">
        <w:t>sugars naturally present in honey, syrups</w:t>
      </w:r>
      <w:r w:rsidR="00C6175B">
        <w:t>, fruit juices and fruit juice concentrates’.</w:t>
      </w:r>
    </w:p>
    <w:p w14:paraId="319DDE49" w14:textId="59D14D5E" w:rsidR="002B68B5" w:rsidRDefault="00502664" w:rsidP="00DD65F7">
      <w:pPr>
        <w:pBdr>
          <w:top w:val="single" w:sz="4" w:space="1" w:color="auto"/>
          <w:left w:val="single" w:sz="4" w:space="4" w:color="auto"/>
          <w:bottom w:val="single" w:sz="4" w:space="1" w:color="auto"/>
          <w:right w:val="single" w:sz="4" w:space="4" w:color="auto"/>
        </w:pBdr>
        <w:shd w:val="clear" w:color="auto" w:fill="D9D9D9" w:themeFill="background1" w:themeFillShade="D9"/>
      </w:pPr>
      <w:proofErr w:type="gramStart"/>
      <w:r>
        <w:t>In light of</w:t>
      </w:r>
      <w:proofErr w:type="gramEnd"/>
      <w:r w:rsidR="006215F4">
        <w:t xml:space="preserve"> the above</w:t>
      </w:r>
      <w:r w:rsidR="00C6175B">
        <w:t>, t</w:t>
      </w:r>
      <w:r w:rsidR="002B68B5">
        <w:t xml:space="preserve">he term ‘free sugars’ is used in this report when </w:t>
      </w:r>
      <w:r w:rsidR="00352C0D">
        <w:t>referring to</w:t>
      </w:r>
      <w:r w:rsidR="002B68B5">
        <w:t xml:space="preserve"> intakes of sugars and comparing that against quantified recommendations. </w:t>
      </w:r>
    </w:p>
    <w:p w14:paraId="750A5924" w14:textId="0DFB4CCD" w:rsidR="00352C0D" w:rsidRDefault="00352C0D" w:rsidP="00DD65F7">
      <w:pPr>
        <w:pBdr>
          <w:top w:val="single" w:sz="4" w:space="1" w:color="auto"/>
          <w:left w:val="single" w:sz="4" w:space="4" w:color="auto"/>
          <w:bottom w:val="single" w:sz="4" w:space="1" w:color="auto"/>
          <w:right w:val="single" w:sz="4" w:space="4" w:color="auto"/>
        </w:pBdr>
        <w:shd w:val="clear" w:color="auto" w:fill="D9D9D9" w:themeFill="background1" w:themeFillShade="D9"/>
      </w:pPr>
      <w:r>
        <w:t>Where this report uses the term ‘total sugars’ it is referring to a food’s total sugar</w:t>
      </w:r>
      <w:r w:rsidR="007419FE">
        <w:t>s</w:t>
      </w:r>
      <w:r>
        <w:t xml:space="preserve"> content, from both added and naturally occurring sources. </w:t>
      </w:r>
    </w:p>
    <w:p w14:paraId="7A63D24B" w14:textId="49623446" w:rsidR="007419FE" w:rsidRDefault="007419FE" w:rsidP="002C50DE">
      <w:r>
        <w:t xml:space="preserve">Dietary </w:t>
      </w:r>
      <w:r w:rsidR="004438F9">
        <w:t>advice</w:t>
      </w:r>
      <w:r>
        <w:t xml:space="preserve"> in Australia, New Zealand and internationally (including the WHO) recommend limiting the consumption of foods containing added/free sugars. </w:t>
      </w:r>
    </w:p>
    <w:p w14:paraId="4B699A79" w14:textId="6098731C" w:rsidR="002B68B5" w:rsidRDefault="00527871" w:rsidP="002B68B5">
      <w:r>
        <w:t xml:space="preserve">Foods high in added/free </w:t>
      </w:r>
      <w:r w:rsidR="00725F4B">
        <w:t>sugars may displace more nutritious foods in the diet</w:t>
      </w:r>
      <w:r w:rsidR="00C52877" w:rsidRPr="00275B6E">
        <w:rPr>
          <w:rStyle w:val="FootnoteReference"/>
        </w:rPr>
        <w:footnoteReference w:id="136"/>
      </w:r>
      <w:r w:rsidR="00275B6E" w:rsidRPr="00275B6E">
        <w:rPr>
          <w:vertAlign w:val="superscript"/>
        </w:rPr>
        <w:t>,</w:t>
      </w:r>
      <w:r w:rsidR="00275B6E">
        <w:rPr>
          <w:rStyle w:val="FootnoteReference"/>
        </w:rPr>
        <w:footnoteReference w:id="137"/>
      </w:r>
      <w:r w:rsidR="00D2007D">
        <w:rPr>
          <w:vertAlign w:val="superscript"/>
        </w:rPr>
        <w:t>,</w:t>
      </w:r>
      <w:r w:rsidR="00D2007D">
        <w:rPr>
          <w:rStyle w:val="FootnoteReference"/>
        </w:rPr>
        <w:footnoteReference w:id="138"/>
      </w:r>
      <w:r w:rsidR="00725F4B">
        <w:t xml:space="preserve"> and contribute to dental caries, unhealthy weight gain and associated chronic conditions</w:t>
      </w:r>
      <w:r w:rsidR="003C7601">
        <w:rPr>
          <w:rStyle w:val="FootnoteReference"/>
        </w:rPr>
        <w:footnoteReference w:id="139"/>
      </w:r>
      <w:r w:rsidR="003C7601" w:rsidRPr="003C7601">
        <w:rPr>
          <w:vertAlign w:val="superscript"/>
        </w:rPr>
        <w:t>,</w:t>
      </w:r>
      <w:r w:rsidR="003C7601">
        <w:rPr>
          <w:rStyle w:val="FootnoteReference"/>
        </w:rPr>
        <w:footnoteReference w:id="140"/>
      </w:r>
      <w:r w:rsidR="00725F4B">
        <w:t xml:space="preserve">. </w:t>
      </w:r>
      <w:r w:rsidR="002B68B5">
        <w:t xml:space="preserve">The association between consumption of added/free sugars and adverse health outcomes is </w:t>
      </w:r>
      <w:r w:rsidR="003C4A13">
        <w:t xml:space="preserve">largely </w:t>
      </w:r>
      <w:r w:rsidR="002B68B5">
        <w:t xml:space="preserve">through </w:t>
      </w:r>
      <w:r w:rsidR="004438F9">
        <w:t>the</w:t>
      </w:r>
      <w:r w:rsidR="004F2671">
        <w:t xml:space="preserve"> sugar</w:t>
      </w:r>
      <w:r w:rsidR="002B68B5">
        <w:t>s</w:t>
      </w:r>
      <w:r w:rsidR="004F2671">
        <w:t>’</w:t>
      </w:r>
      <w:r w:rsidR="002B68B5">
        <w:t xml:space="preserve"> contribution to excess energy intakes. Sugar sweetened beverages</w:t>
      </w:r>
      <w:proofErr w:type="gramStart"/>
      <w:r w:rsidR="00FD0468">
        <w:t>,</w:t>
      </w:r>
      <w:r w:rsidR="002B68B5">
        <w:t xml:space="preserve"> in particular</w:t>
      </w:r>
      <w:r w:rsidR="004438F9">
        <w:t xml:space="preserve">, </w:t>
      </w:r>
      <w:r w:rsidR="002B68B5">
        <w:t>have</w:t>
      </w:r>
      <w:proofErr w:type="gramEnd"/>
      <w:r w:rsidR="002B68B5">
        <w:t xml:space="preserve"> been positively associated with body weight or obesity</w:t>
      </w:r>
      <w:r w:rsidR="003C4A13">
        <w:rPr>
          <w:rStyle w:val="FootnoteReference"/>
        </w:rPr>
        <w:footnoteReference w:id="141"/>
      </w:r>
      <w:r w:rsidR="002B68B5">
        <w:t xml:space="preserve">. </w:t>
      </w:r>
    </w:p>
    <w:p w14:paraId="756E53C8" w14:textId="5E07D13A" w:rsidR="002C50DE" w:rsidRDefault="004438F9" w:rsidP="002C50DE">
      <w:r>
        <w:t>In 2011</w:t>
      </w:r>
      <w:r w:rsidR="00983CE7">
        <w:t>-</w:t>
      </w:r>
      <w:r w:rsidR="002C50DE" w:rsidRPr="00E75FB7">
        <w:t>12</w:t>
      </w:r>
      <w:r w:rsidR="002C50DE">
        <w:t xml:space="preserve"> j</w:t>
      </w:r>
      <w:r w:rsidR="002C50DE" w:rsidRPr="00E75FB7">
        <w:t xml:space="preserve">ust over half </w:t>
      </w:r>
      <w:r w:rsidR="002C50DE">
        <w:t xml:space="preserve">(52%) </w:t>
      </w:r>
      <w:r w:rsidR="002C50DE" w:rsidRPr="00E75FB7">
        <w:t>of all Australians aged</w:t>
      </w:r>
      <w:r w:rsidR="005D7C6B">
        <w:t xml:space="preserve"> two</w:t>
      </w:r>
      <w:r w:rsidR="002C50DE" w:rsidRPr="00E75FB7">
        <w:t xml:space="preserve"> years and over exceeded the WHO recommendation to limit energy from free sugars to less than 10% of dietary energy.</w:t>
      </w:r>
      <w:r w:rsidR="002C50DE">
        <w:t xml:space="preserve"> </w:t>
      </w:r>
      <w:r w:rsidR="002C50DE" w:rsidRPr="00E75FB7">
        <w:t xml:space="preserve">Close to three-quarters of </w:t>
      </w:r>
      <w:proofErr w:type="gramStart"/>
      <w:r w:rsidR="005D7C6B">
        <w:t>nine to thirteen</w:t>
      </w:r>
      <w:r w:rsidR="002C50DE" w:rsidRPr="00E75FB7">
        <w:t xml:space="preserve"> </w:t>
      </w:r>
      <w:r w:rsidR="5E6A4EF4">
        <w:t xml:space="preserve">year </w:t>
      </w:r>
      <w:proofErr w:type="spellStart"/>
      <w:r w:rsidR="5E6A4EF4">
        <w:t>olds</w:t>
      </w:r>
      <w:proofErr w:type="spellEnd"/>
      <w:proofErr w:type="gramEnd"/>
      <w:r w:rsidR="5E6A4EF4">
        <w:t xml:space="preserve"> </w:t>
      </w:r>
      <w:r w:rsidR="002C50DE" w:rsidRPr="00E75FB7">
        <w:t xml:space="preserve">and </w:t>
      </w:r>
      <w:r w:rsidR="005D7C6B">
        <w:t>fourteen to eighteen</w:t>
      </w:r>
      <w:r w:rsidR="002C50DE" w:rsidRPr="00E75FB7">
        <w:t xml:space="preserve"> year </w:t>
      </w:r>
      <w:proofErr w:type="spellStart"/>
      <w:r w:rsidR="002C50DE" w:rsidRPr="00E75FB7">
        <w:t>olds</w:t>
      </w:r>
      <w:proofErr w:type="spellEnd"/>
      <w:r w:rsidR="002C50DE" w:rsidRPr="00E75FB7">
        <w:t xml:space="preserve"> usually derived 10% or more of their dietary energy intake from free sugars, with the top 10% of this age group usually consuming at least 23% of energy from free sugars – over twice the </w:t>
      </w:r>
      <w:r>
        <w:t>WHO recommended limit</w:t>
      </w:r>
      <w:r w:rsidR="002C50DE" w:rsidRPr="00E75FB7">
        <w:t>.</w:t>
      </w:r>
      <w:r w:rsidR="002C50DE">
        <w:t xml:space="preserve"> The main contributors to free sugars consumption were beverages, </w:t>
      </w:r>
      <w:r w:rsidR="002C50DE" w:rsidRPr="00B72D17">
        <w:t>led by soft drinks, sports and energy drinks (19%), fru</w:t>
      </w:r>
      <w:r w:rsidR="002C50DE">
        <w:t>it juice and fruit drinks (13%)</w:t>
      </w:r>
      <w:r w:rsidR="002C50DE">
        <w:rPr>
          <w:rStyle w:val="FootnoteReference"/>
        </w:rPr>
        <w:footnoteReference w:id="142"/>
      </w:r>
      <w:r w:rsidR="002C50DE" w:rsidRPr="00B72D17">
        <w:t>.</w:t>
      </w:r>
      <w:r w:rsidR="4F7A83ED">
        <w:t xml:space="preserve"> For food sources of free sugars, </w:t>
      </w:r>
      <w:r w:rsidR="59304056">
        <w:t xml:space="preserve">the leading contributors were cakes, muffins, scones and cake-type desserts (8.7%), confectionary and </w:t>
      </w:r>
      <w:r w:rsidR="4D56C7B0">
        <w:t>cereal</w:t>
      </w:r>
      <w:r w:rsidR="59304056">
        <w:t>/nut/fruit/seed bars (8.7%)</w:t>
      </w:r>
      <w:r w:rsidR="00FD0468">
        <w:t>,</w:t>
      </w:r>
      <w:r w:rsidR="59304056">
        <w:t xml:space="preserve"> and sugar products and dishes </w:t>
      </w:r>
      <w:r w:rsidR="00502664">
        <w:t>(</w:t>
      </w:r>
      <w:proofErr w:type="gramStart"/>
      <w:r w:rsidR="00502664">
        <w:t>e.g.</w:t>
      </w:r>
      <w:proofErr w:type="gramEnd"/>
      <w:r w:rsidR="00502664">
        <w:t xml:space="preserve"> honey, syrups, jam, chocolate spreads and dishes other than confectionary where sugar is the major component, e.g. pavlova or meringue) </w:t>
      </w:r>
      <w:r w:rsidR="59304056">
        <w:t>(7.</w:t>
      </w:r>
      <w:r w:rsidR="329893D9">
        <w:t xml:space="preserve">6%). In contrast to the trends observed for sugars from beverages, </w:t>
      </w:r>
      <w:r w:rsidR="64F87888">
        <w:t xml:space="preserve">younger children and older adults consumed a higher proportion of free sugars from foods. </w:t>
      </w:r>
    </w:p>
    <w:p w14:paraId="0A83FE54" w14:textId="5252DE5C" w:rsidR="00C94FA6" w:rsidRDefault="006756E1" w:rsidP="002C50DE">
      <w:r>
        <w:lastRenderedPageBreak/>
        <w:t xml:space="preserve">For the Aboriginal and Torres Strait Islander population, in 2012-13 the average consumption of free sugars was 75g per day. </w:t>
      </w:r>
      <w:r w:rsidRPr="006756E1">
        <w:t xml:space="preserve">Aboriginal and Torres Strait Islander people consumed </w:t>
      </w:r>
      <w:r>
        <w:t xml:space="preserve">an average of 15g </w:t>
      </w:r>
      <w:r w:rsidRPr="006756E1">
        <w:t>more free sugars on than non-Indigenous people.</w:t>
      </w:r>
      <w:r>
        <w:t xml:space="preserve"> Free sugars contributed to 14% of daily energy intakes, which exceeds the WHO advice of no more than 10% of energy from free sugars. </w:t>
      </w:r>
      <w:r w:rsidR="00671387">
        <w:t xml:space="preserve">Beverages were the main contributor to intakes of free sugars, with beverages accounting for 67% of free sugar consumption amongst Aboriginal and Torres Strait Islander people, compared to 51% for non-indigenous people. </w:t>
      </w:r>
    </w:p>
    <w:p w14:paraId="75953E14" w14:textId="19382C1A" w:rsidR="004438F9" w:rsidRDefault="004438F9" w:rsidP="002C50DE">
      <w:r>
        <w:t xml:space="preserve">In </w:t>
      </w:r>
      <w:r w:rsidR="006756E1">
        <w:t xml:space="preserve">the </w:t>
      </w:r>
      <w:r>
        <w:t>Australia</w:t>
      </w:r>
      <w:r w:rsidR="006756E1">
        <w:t xml:space="preserve">n population (aged </w:t>
      </w:r>
      <w:r w:rsidR="005D7C6B">
        <w:t xml:space="preserve">two </w:t>
      </w:r>
      <w:r w:rsidR="006756E1">
        <w:t>years and over)</w:t>
      </w:r>
      <w:r>
        <w:t xml:space="preserve"> th</w:t>
      </w:r>
      <w:r w:rsidRPr="00AB3100">
        <w:t xml:space="preserve">e median amount of sugar sweetened beverages consumed daily is the size of a regular can, however, the top </w:t>
      </w:r>
      <w:r>
        <w:t xml:space="preserve">10% </w:t>
      </w:r>
      <w:r w:rsidRPr="00AB3100">
        <w:t>of consumers drink more than a litre of sugar sweetened beverages daily, with the top consuming males aged 19</w:t>
      </w:r>
      <w:r>
        <w:t>-</w:t>
      </w:r>
      <w:r w:rsidRPr="00AB3100">
        <w:t xml:space="preserve">30 </w:t>
      </w:r>
      <w:r>
        <w:t>years consuming 1.5 litres a day.</w:t>
      </w:r>
    </w:p>
    <w:p w14:paraId="70CC0279" w14:textId="31DFBE6A" w:rsidR="004438F9" w:rsidRDefault="002C50DE" w:rsidP="4F93ADCF">
      <w:r>
        <w:t>In New Zealand the 2008</w:t>
      </w:r>
      <w:r w:rsidR="00983CE7">
        <w:t>-</w:t>
      </w:r>
      <w:r>
        <w:t>09 Adult Nutrition Survey</w:t>
      </w:r>
      <w:r w:rsidR="00C94FA6">
        <w:t xml:space="preserve"> </w:t>
      </w:r>
      <w:r w:rsidR="1BBBE91C">
        <w:t>found that</w:t>
      </w:r>
      <w:r>
        <w:t xml:space="preserve"> over half (58%) of New Zealand adults exceeded the WHO free sugars recommended limit, with the median intake being 11%</w:t>
      </w:r>
      <w:r>
        <w:rPr>
          <w:rStyle w:val="FootnoteReference"/>
        </w:rPr>
        <w:footnoteReference w:id="143"/>
      </w:r>
      <w:r>
        <w:t xml:space="preserve"> of energy coming from free sugars. New Zealand European females aged between 15-18 years old were most likely to exceed this recommendation, with 80% of this group exceeding this recommendation. The main contributors to free sugars consumption </w:t>
      </w:r>
      <w:proofErr w:type="gramStart"/>
      <w:r>
        <w:t>has</w:t>
      </w:r>
      <w:proofErr w:type="gramEnd"/>
      <w:r>
        <w:t xml:space="preserve"> not been reported in New Zealand. </w:t>
      </w:r>
      <w:r w:rsidR="006D1BB1">
        <w:t xml:space="preserve">However, </w:t>
      </w:r>
      <w:r w:rsidR="4F2302F3">
        <w:t>in 2008</w:t>
      </w:r>
      <w:r w:rsidR="00983CE7">
        <w:t>-</w:t>
      </w:r>
      <w:r w:rsidR="4F2302F3">
        <w:t xml:space="preserve">09 </w:t>
      </w:r>
      <w:r w:rsidR="006D1BB1">
        <w:t xml:space="preserve">it </w:t>
      </w:r>
      <w:r w:rsidR="1EA04AF7">
        <w:t>wa</w:t>
      </w:r>
      <w:r w:rsidR="003C4A13">
        <w:t>s estimated that</w:t>
      </w:r>
      <w:r w:rsidR="006D1BB1">
        <w:t xml:space="preserve"> New Zealand adults consumed on average 23 grams of sugar from sugar sweetened beverages each day, contributing to 16.7% of total sugar intake</w:t>
      </w:r>
      <w:r w:rsidR="006D1BB1">
        <w:rPr>
          <w:rStyle w:val="FootnoteReference"/>
        </w:rPr>
        <w:footnoteReference w:id="144"/>
      </w:r>
      <w:r w:rsidR="006D1BB1">
        <w:t xml:space="preserve">. Both males and younger age groups tended to consume more sugar from these drinks, with the top 10% of male consumers in the </w:t>
      </w:r>
      <w:proofErr w:type="gramStart"/>
      <w:r w:rsidR="003114A0">
        <w:t>fifteen to eighteen</w:t>
      </w:r>
      <w:r w:rsidR="006D1BB1">
        <w:t xml:space="preserve"> year old</w:t>
      </w:r>
      <w:proofErr w:type="gramEnd"/>
      <w:r w:rsidR="006D1BB1">
        <w:t xml:space="preserve"> age group consuming 128 grams per day.</w:t>
      </w:r>
      <w:r w:rsidR="006919DA" w:rsidRPr="006919DA">
        <w:t xml:space="preserve"> </w:t>
      </w:r>
    </w:p>
    <w:p w14:paraId="575D0C43" w14:textId="4C740A60" w:rsidR="00B8595B" w:rsidRDefault="2FC197F6" w:rsidP="006D1BB1">
      <w:r>
        <w:t>In 2017</w:t>
      </w:r>
      <w:r w:rsidR="004438F9">
        <w:t>,</w:t>
      </w:r>
      <w:r>
        <w:t xml:space="preserve"> d</w:t>
      </w:r>
      <w:r w:rsidR="00B8595B">
        <w:t xml:space="preserve">iets high in sweetened beverages </w:t>
      </w:r>
      <w:r w:rsidR="004438F9">
        <w:t>accounted for</w:t>
      </w:r>
      <w:r w:rsidR="00B8595B">
        <w:t xml:space="preserve"> 0.</w:t>
      </w:r>
      <w:r w:rsidR="00EF36F3">
        <w:t>3</w:t>
      </w:r>
      <w:r w:rsidR="00B8595B">
        <w:t xml:space="preserve">% of </w:t>
      </w:r>
      <w:r w:rsidR="004438F9">
        <w:t xml:space="preserve">total </w:t>
      </w:r>
      <w:r w:rsidR="00B8595B">
        <w:t>disease burden and 0.</w:t>
      </w:r>
      <w:r w:rsidR="00EF36F3">
        <w:t>4</w:t>
      </w:r>
      <w:r w:rsidR="00B8595B">
        <w:t>% of total deaths in Australia, and 0.20% of disease burden and 0.</w:t>
      </w:r>
      <w:r w:rsidR="00EF36F3">
        <w:t>3</w:t>
      </w:r>
      <w:r w:rsidR="00B8595B">
        <w:t>% of total deaths in New Zealand</w:t>
      </w:r>
      <w:r w:rsidR="00B8595B" w:rsidRPr="2CF3C489">
        <w:rPr>
          <w:rStyle w:val="FootnoteReference"/>
        </w:rPr>
        <w:footnoteReference w:id="145"/>
      </w:r>
      <w:r w:rsidR="00B8595B">
        <w:t xml:space="preserve">. </w:t>
      </w:r>
      <w:r w:rsidR="0083101F">
        <w:t>It is recognised that burden of disease associated with diets high in sweetened beverages is relatively low compared to the burden of disease associated with other dietary risks such as diets low in whole grains or diets high in sodium. However, it is important to note that this risk factor for disease burden is attributed to a single product category, whereas most other dietary risk factors are a nutrient (sodium</w:t>
      </w:r>
      <w:r w:rsidR="001D2F17">
        <w:t>,</w:t>
      </w:r>
      <w:r w:rsidR="0083101F">
        <w:t xml:space="preserve"> for example) that is distributed through a range of foods. </w:t>
      </w:r>
    </w:p>
    <w:p w14:paraId="58064B45" w14:textId="47C5A239" w:rsidR="00453DEB" w:rsidRDefault="005220FD" w:rsidP="00453DEB">
      <w:pPr>
        <w:pStyle w:val="Heading4"/>
      </w:pPr>
      <w:r w:rsidRPr="003B5E2D">
        <w:rPr>
          <w:rStyle w:val="Heading4Char"/>
        </w:rPr>
        <w:t>Assessment</w:t>
      </w:r>
    </w:p>
    <w:p w14:paraId="1709EA6F" w14:textId="76B9FC05" w:rsidR="00974427" w:rsidRDefault="2BCBC695" w:rsidP="002C50DE">
      <w:r>
        <w:t xml:space="preserve">Evidence from the United Kingdom’s sugar reduction program indicates that sugar reformulation in both food and beverage categories is </w:t>
      </w:r>
      <w:r w:rsidR="0498452C">
        <w:t>possible</w:t>
      </w:r>
      <w:r w:rsidR="36B91EB6">
        <w:t xml:space="preserve"> however the extent of the reformulation </w:t>
      </w:r>
      <w:r w:rsidR="004438F9">
        <w:t xml:space="preserve">achieved </w:t>
      </w:r>
      <w:r w:rsidR="36B91EB6">
        <w:t xml:space="preserve">varied </w:t>
      </w:r>
      <w:r w:rsidR="03CD18AD">
        <w:t>by food category.</w:t>
      </w:r>
    </w:p>
    <w:p w14:paraId="6BC58C04" w14:textId="3CE84DE4" w:rsidR="00974427" w:rsidRDefault="2BA56ABB" w:rsidP="2CF3C489">
      <w:r>
        <w:t>In both Australia and New Zealand</w:t>
      </w:r>
      <w:r w:rsidR="006919DA">
        <w:t xml:space="preserve"> beverages </w:t>
      </w:r>
      <w:r w:rsidR="52E5C049">
        <w:t xml:space="preserve">the </w:t>
      </w:r>
      <w:r w:rsidR="006D1BB1">
        <w:t xml:space="preserve">main source of </w:t>
      </w:r>
      <w:r w:rsidR="56DFDA81">
        <w:t>free</w:t>
      </w:r>
      <w:r w:rsidR="00F15AE8" w:rsidRPr="00110EB0">
        <w:t>/total</w:t>
      </w:r>
      <w:r w:rsidR="006D1BB1" w:rsidRPr="00110EB0">
        <w:t xml:space="preserve"> sugars in the diet</w:t>
      </w:r>
      <w:r w:rsidR="722CA36D" w:rsidRPr="00110EB0">
        <w:t xml:space="preserve">. </w:t>
      </w:r>
      <w:r w:rsidR="421CA788" w:rsidRPr="00110EB0">
        <w:t>Sugary drinks have also</w:t>
      </w:r>
      <w:r w:rsidR="00F15AE8" w:rsidRPr="00110EB0">
        <w:t xml:space="preserve"> </w:t>
      </w:r>
      <w:r w:rsidR="006D1BB1" w:rsidRPr="00110EB0">
        <w:t>been positively associated with body weight or obesity</w:t>
      </w:r>
      <w:r w:rsidR="00C46F20" w:rsidRPr="00110EB0">
        <w:rPr>
          <w:rStyle w:val="FootnoteReference"/>
        </w:rPr>
        <w:footnoteReference w:id="146"/>
      </w:r>
      <w:r w:rsidR="006D1BB1" w:rsidRPr="00110EB0">
        <w:t xml:space="preserve">. </w:t>
      </w:r>
      <w:r w:rsidR="00970D0F" w:rsidRPr="00110EB0">
        <w:t>Water is promoted as the preferred drink in dietary advice in both Australia and New Zealand.</w:t>
      </w:r>
      <w:r w:rsidR="00970D0F">
        <w:t xml:space="preserve"> </w:t>
      </w:r>
    </w:p>
    <w:p w14:paraId="1499792E" w14:textId="509B0D2E" w:rsidR="006919DA" w:rsidRDefault="006919DA" w:rsidP="006919DA">
      <w:r>
        <w:lastRenderedPageBreak/>
        <w:t xml:space="preserve">A 2015 survey by </w:t>
      </w:r>
      <w:r w:rsidR="6D45C2A9">
        <w:t xml:space="preserve">the charity </w:t>
      </w:r>
      <w:r>
        <w:t xml:space="preserve">Action on Sugar examined the sugar content of </w:t>
      </w:r>
      <w:r w:rsidR="001A7E53">
        <w:t xml:space="preserve">sugar-sweetened </w:t>
      </w:r>
      <w:r>
        <w:t xml:space="preserve">beverages across </w:t>
      </w:r>
      <w:proofErr w:type="gramStart"/>
      <w:r>
        <w:t>a number of</w:t>
      </w:r>
      <w:proofErr w:type="gramEnd"/>
      <w:r>
        <w:t xml:space="preserve"> countries. There was considerable variability in sugar content of soft drinks within and between countries; in some </w:t>
      </w:r>
      <w:proofErr w:type="gramStart"/>
      <w:r>
        <w:t>instances</w:t>
      </w:r>
      <w:proofErr w:type="gramEnd"/>
      <w:r>
        <w:t xml:space="preserve"> the same </w:t>
      </w:r>
      <w:r w:rsidR="001A7E53">
        <w:t xml:space="preserve">beverage </w:t>
      </w:r>
      <w:r>
        <w:t xml:space="preserve">product had a difference in sugar content of 20 grams or more depending on the country. In general, the sugar content of the Australian and New Zealand beverages surveyed was </w:t>
      </w:r>
      <w:r w:rsidR="00F15AE8">
        <w:t>towards the middle of the range</w:t>
      </w:r>
      <w:r>
        <w:t>. The results of this survey are</w:t>
      </w:r>
      <w:r w:rsidR="001A7E53">
        <w:t xml:space="preserve"> </w:t>
      </w:r>
      <w:r>
        <w:t xml:space="preserve">summarised </w:t>
      </w:r>
      <w:r w:rsidR="00B64007">
        <w:t>in T</w:t>
      </w:r>
      <w:r w:rsidR="00F15AE8">
        <w:t xml:space="preserve">able </w:t>
      </w:r>
      <w:r w:rsidR="004A174B">
        <w:t>3</w:t>
      </w:r>
      <w:r>
        <w:t xml:space="preserve">. </w:t>
      </w:r>
    </w:p>
    <w:p w14:paraId="5ECA99C6" w14:textId="23E35DB1" w:rsidR="006919DA" w:rsidRPr="006053D8" w:rsidRDefault="006919DA" w:rsidP="006919DA">
      <w:pPr>
        <w:pStyle w:val="Caption"/>
        <w:keepNext/>
        <w:rPr>
          <w:b/>
          <w:color w:val="auto"/>
          <w:sz w:val="24"/>
          <w:szCs w:val="24"/>
        </w:rPr>
      </w:pPr>
      <w:r w:rsidRPr="006053D8">
        <w:rPr>
          <w:b/>
          <w:color w:val="auto"/>
          <w:sz w:val="24"/>
          <w:szCs w:val="24"/>
        </w:rPr>
        <w:t xml:space="preserve">Table </w:t>
      </w:r>
      <w:r w:rsidR="004A174B">
        <w:rPr>
          <w:b/>
          <w:color w:val="auto"/>
          <w:sz w:val="24"/>
          <w:szCs w:val="24"/>
        </w:rPr>
        <w:t>3</w:t>
      </w:r>
      <w:r w:rsidRPr="006053D8">
        <w:rPr>
          <w:b/>
          <w:color w:val="auto"/>
          <w:sz w:val="24"/>
          <w:szCs w:val="24"/>
        </w:rPr>
        <w:t>: Summary of</w:t>
      </w:r>
      <w:r w:rsidR="00EB6A04">
        <w:rPr>
          <w:b/>
          <w:color w:val="auto"/>
          <w:sz w:val="24"/>
          <w:szCs w:val="24"/>
        </w:rPr>
        <w:t xml:space="preserve"> 2015 international</w:t>
      </w:r>
      <w:r w:rsidRPr="006053D8">
        <w:rPr>
          <w:b/>
          <w:color w:val="auto"/>
          <w:sz w:val="24"/>
          <w:szCs w:val="24"/>
        </w:rPr>
        <w:t xml:space="preserve"> sugary drinks survey results</w:t>
      </w:r>
    </w:p>
    <w:tbl>
      <w:tblPr>
        <w:tblStyle w:val="TableGrid"/>
        <w:tblW w:w="0" w:type="auto"/>
        <w:tblLook w:val="04A0" w:firstRow="1" w:lastRow="0" w:firstColumn="1" w:lastColumn="0" w:noHBand="0" w:noVBand="1"/>
        <w:tblCaption w:val="Table 3: Summary of 2015 international sugary drinks survey results"/>
        <w:tblDescription w:val="Table with 4 columns. Column 1: Type of drink. Column 2: Describes the sugar content of the drink per 330mL serving in Australia and New Zealand. Column 3. Provides the country with the highest sugar content for that type of drink, and the sugar content per 330 mL serving. Column 4: Provides the country with the lowest sugar content for that type of drink, and the sugar content per 330 mL serving."/>
      </w:tblPr>
      <w:tblGrid>
        <w:gridCol w:w="2254"/>
        <w:gridCol w:w="2254"/>
        <w:gridCol w:w="2254"/>
        <w:gridCol w:w="2254"/>
      </w:tblGrid>
      <w:tr w:rsidR="006919DA" w14:paraId="37141F9A" w14:textId="77777777" w:rsidTr="008C1500">
        <w:trPr>
          <w:trHeight w:val="323"/>
          <w:tblHeader/>
        </w:trPr>
        <w:tc>
          <w:tcPr>
            <w:tcW w:w="2254" w:type="dxa"/>
          </w:tcPr>
          <w:p w14:paraId="1D7A2663" w14:textId="77777777" w:rsidR="006919DA" w:rsidRPr="008E7758" w:rsidRDefault="006919DA" w:rsidP="004B3253">
            <w:pPr>
              <w:jc w:val="center"/>
              <w:rPr>
                <w:b/>
                <w:sz w:val="20"/>
                <w:szCs w:val="20"/>
              </w:rPr>
            </w:pPr>
          </w:p>
        </w:tc>
        <w:tc>
          <w:tcPr>
            <w:tcW w:w="6762" w:type="dxa"/>
            <w:gridSpan w:val="3"/>
          </w:tcPr>
          <w:p w14:paraId="721F5531" w14:textId="0B36D200" w:rsidR="006919DA" w:rsidRPr="008E7758" w:rsidRDefault="006919DA" w:rsidP="004B3253">
            <w:pPr>
              <w:jc w:val="center"/>
              <w:rPr>
                <w:b/>
                <w:sz w:val="20"/>
                <w:szCs w:val="20"/>
              </w:rPr>
            </w:pPr>
            <w:r w:rsidRPr="008E7758">
              <w:rPr>
                <w:b/>
                <w:sz w:val="20"/>
                <w:szCs w:val="20"/>
              </w:rPr>
              <w:t>Sugars (g) per</w:t>
            </w:r>
            <w:r w:rsidR="00B55E84">
              <w:rPr>
                <w:b/>
                <w:sz w:val="20"/>
                <w:szCs w:val="20"/>
              </w:rPr>
              <w:t xml:space="preserve"> </w:t>
            </w:r>
            <w:r w:rsidRPr="008E7758">
              <w:rPr>
                <w:b/>
                <w:sz w:val="20"/>
                <w:szCs w:val="20"/>
              </w:rPr>
              <w:t>330 mL serving</w:t>
            </w:r>
          </w:p>
        </w:tc>
      </w:tr>
      <w:tr w:rsidR="006919DA" w14:paraId="6827F4FB" w14:textId="77777777" w:rsidTr="004B3253">
        <w:tc>
          <w:tcPr>
            <w:tcW w:w="2254" w:type="dxa"/>
          </w:tcPr>
          <w:p w14:paraId="1A0D38E1" w14:textId="77777777" w:rsidR="006919DA" w:rsidRPr="008E7758" w:rsidRDefault="006919DA" w:rsidP="004B3253">
            <w:pPr>
              <w:jc w:val="center"/>
              <w:rPr>
                <w:b/>
                <w:sz w:val="20"/>
                <w:szCs w:val="20"/>
              </w:rPr>
            </w:pPr>
            <w:r w:rsidRPr="008E7758">
              <w:rPr>
                <w:b/>
                <w:sz w:val="20"/>
                <w:szCs w:val="20"/>
              </w:rPr>
              <w:t>Drink</w:t>
            </w:r>
          </w:p>
        </w:tc>
        <w:tc>
          <w:tcPr>
            <w:tcW w:w="2254" w:type="dxa"/>
          </w:tcPr>
          <w:p w14:paraId="084BD2BA" w14:textId="77777777" w:rsidR="006919DA" w:rsidRPr="008E7758" w:rsidRDefault="006919DA" w:rsidP="004B3253">
            <w:pPr>
              <w:jc w:val="center"/>
              <w:rPr>
                <w:b/>
                <w:sz w:val="20"/>
                <w:szCs w:val="20"/>
              </w:rPr>
            </w:pPr>
            <w:r w:rsidRPr="008E7758">
              <w:rPr>
                <w:b/>
                <w:sz w:val="20"/>
                <w:szCs w:val="20"/>
              </w:rPr>
              <w:t>Australia</w:t>
            </w:r>
          </w:p>
          <w:p w14:paraId="5FDFEBE1" w14:textId="77777777" w:rsidR="006919DA" w:rsidRPr="008E7758" w:rsidRDefault="006919DA" w:rsidP="004B3253">
            <w:pPr>
              <w:jc w:val="center"/>
              <w:rPr>
                <w:b/>
                <w:sz w:val="20"/>
                <w:szCs w:val="20"/>
              </w:rPr>
            </w:pPr>
            <w:r w:rsidRPr="008E7758">
              <w:rPr>
                <w:b/>
                <w:sz w:val="20"/>
                <w:szCs w:val="20"/>
              </w:rPr>
              <w:t>New Zealand</w:t>
            </w:r>
          </w:p>
        </w:tc>
        <w:tc>
          <w:tcPr>
            <w:tcW w:w="2254" w:type="dxa"/>
          </w:tcPr>
          <w:p w14:paraId="2C690D6D" w14:textId="77777777" w:rsidR="006919DA" w:rsidRPr="008E7758" w:rsidRDefault="006919DA" w:rsidP="004B3253">
            <w:pPr>
              <w:jc w:val="center"/>
              <w:rPr>
                <w:b/>
                <w:sz w:val="20"/>
                <w:szCs w:val="20"/>
              </w:rPr>
            </w:pPr>
            <w:r w:rsidRPr="008E7758">
              <w:rPr>
                <w:b/>
                <w:sz w:val="20"/>
                <w:szCs w:val="20"/>
              </w:rPr>
              <w:t>Highest</w:t>
            </w:r>
          </w:p>
        </w:tc>
        <w:tc>
          <w:tcPr>
            <w:tcW w:w="2254" w:type="dxa"/>
          </w:tcPr>
          <w:p w14:paraId="5534DDA5" w14:textId="77777777" w:rsidR="006919DA" w:rsidRPr="008E7758" w:rsidRDefault="006919DA" w:rsidP="004B3253">
            <w:pPr>
              <w:jc w:val="center"/>
              <w:rPr>
                <w:b/>
                <w:sz w:val="20"/>
                <w:szCs w:val="20"/>
              </w:rPr>
            </w:pPr>
            <w:r w:rsidRPr="008E7758">
              <w:rPr>
                <w:b/>
                <w:sz w:val="20"/>
                <w:szCs w:val="20"/>
              </w:rPr>
              <w:t>Lowest</w:t>
            </w:r>
          </w:p>
        </w:tc>
      </w:tr>
      <w:tr w:rsidR="006919DA" w14:paraId="1A3089AB" w14:textId="77777777" w:rsidTr="004B3253">
        <w:tc>
          <w:tcPr>
            <w:tcW w:w="2254" w:type="dxa"/>
          </w:tcPr>
          <w:p w14:paraId="5FEE2C8E" w14:textId="77777777" w:rsidR="006919DA" w:rsidRPr="008E7758" w:rsidRDefault="006919DA" w:rsidP="004B3253">
            <w:pPr>
              <w:jc w:val="right"/>
              <w:rPr>
                <w:sz w:val="20"/>
                <w:szCs w:val="20"/>
              </w:rPr>
            </w:pPr>
            <w:r w:rsidRPr="008E7758">
              <w:rPr>
                <w:sz w:val="20"/>
                <w:szCs w:val="20"/>
              </w:rPr>
              <w:t>7 Up</w:t>
            </w:r>
          </w:p>
        </w:tc>
        <w:tc>
          <w:tcPr>
            <w:tcW w:w="2254" w:type="dxa"/>
          </w:tcPr>
          <w:p w14:paraId="4F302897" w14:textId="77777777" w:rsidR="006919DA" w:rsidRPr="008E7758" w:rsidRDefault="006919DA" w:rsidP="004B3253">
            <w:pPr>
              <w:jc w:val="right"/>
              <w:rPr>
                <w:sz w:val="20"/>
                <w:szCs w:val="20"/>
              </w:rPr>
            </w:pPr>
            <w:r w:rsidRPr="008E7758">
              <w:rPr>
                <w:sz w:val="20"/>
                <w:szCs w:val="20"/>
              </w:rPr>
              <w:t>37 Australia</w:t>
            </w:r>
          </w:p>
          <w:p w14:paraId="0591FD01" w14:textId="28252305" w:rsidR="006919DA" w:rsidRPr="008E7758" w:rsidRDefault="006919DA" w:rsidP="004B3253">
            <w:pPr>
              <w:jc w:val="right"/>
              <w:rPr>
                <w:sz w:val="20"/>
                <w:szCs w:val="20"/>
              </w:rPr>
            </w:pPr>
            <w:r w:rsidRPr="008E7758">
              <w:rPr>
                <w:sz w:val="20"/>
                <w:szCs w:val="20"/>
              </w:rPr>
              <w:t>N/A New Zealand</w:t>
            </w:r>
          </w:p>
        </w:tc>
        <w:tc>
          <w:tcPr>
            <w:tcW w:w="2254" w:type="dxa"/>
          </w:tcPr>
          <w:p w14:paraId="4CA3C22A" w14:textId="77777777" w:rsidR="006919DA" w:rsidRPr="008E7758" w:rsidRDefault="006919DA" w:rsidP="004B3253">
            <w:pPr>
              <w:jc w:val="right"/>
              <w:rPr>
                <w:sz w:val="20"/>
                <w:szCs w:val="20"/>
              </w:rPr>
            </w:pPr>
            <w:r w:rsidRPr="008E7758">
              <w:rPr>
                <w:sz w:val="20"/>
                <w:szCs w:val="20"/>
              </w:rPr>
              <w:t>39 Canada</w:t>
            </w:r>
          </w:p>
        </w:tc>
        <w:tc>
          <w:tcPr>
            <w:tcW w:w="2254" w:type="dxa"/>
          </w:tcPr>
          <w:p w14:paraId="415CA4F1" w14:textId="77777777" w:rsidR="006919DA" w:rsidRPr="008E7758" w:rsidRDefault="006919DA" w:rsidP="004B3253">
            <w:pPr>
              <w:jc w:val="right"/>
              <w:rPr>
                <w:sz w:val="20"/>
                <w:szCs w:val="20"/>
              </w:rPr>
            </w:pPr>
            <w:r w:rsidRPr="008E7758">
              <w:rPr>
                <w:sz w:val="20"/>
                <w:szCs w:val="20"/>
              </w:rPr>
              <w:t>35 USA</w:t>
            </w:r>
          </w:p>
        </w:tc>
      </w:tr>
      <w:tr w:rsidR="006919DA" w14:paraId="37E8A189" w14:textId="77777777" w:rsidTr="004B3253">
        <w:tc>
          <w:tcPr>
            <w:tcW w:w="2254" w:type="dxa"/>
          </w:tcPr>
          <w:p w14:paraId="531E2FF9" w14:textId="77777777" w:rsidR="006919DA" w:rsidRPr="008E7758" w:rsidRDefault="006919DA" w:rsidP="004B3253">
            <w:pPr>
              <w:jc w:val="right"/>
              <w:rPr>
                <w:sz w:val="20"/>
                <w:szCs w:val="20"/>
              </w:rPr>
            </w:pPr>
            <w:r w:rsidRPr="008E7758">
              <w:rPr>
                <w:sz w:val="20"/>
                <w:szCs w:val="20"/>
              </w:rPr>
              <w:t>Coca Cola</w:t>
            </w:r>
          </w:p>
        </w:tc>
        <w:tc>
          <w:tcPr>
            <w:tcW w:w="2254" w:type="dxa"/>
          </w:tcPr>
          <w:p w14:paraId="48234EE7" w14:textId="77777777" w:rsidR="006919DA" w:rsidRPr="008E7758" w:rsidRDefault="006919DA" w:rsidP="004B3253">
            <w:pPr>
              <w:jc w:val="right"/>
              <w:rPr>
                <w:sz w:val="20"/>
                <w:szCs w:val="20"/>
              </w:rPr>
            </w:pPr>
            <w:r w:rsidRPr="008E7758">
              <w:rPr>
                <w:sz w:val="20"/>
                <w:szCs w:val="20"/>
              </w:rPr>
              <w:t>35 Australia</w:t>
            </w:r>
          </w:p>
          <w:p w14:paraId="0D96DFE5" w14:textId="33BD3336" w:rsidR="006919DA" w:rsidRPr="008E7758" w:rsidRDefault="006919DA" w:rsidP="004B3253">
            <w:pPr>
              <w:jc w:val="right"/>
              <w:rPr>
                <w:sz w:val="20"/>
                <w:szCs w:val="20"/>
              </w:rPr>
            </w:pPr>
            <w:r w:rsidRPr="008E7758">
              <w:rPr>
                <w:sz w:val="20"/>
                <w:szCs w:val="20"/>
              </w:rPr>
              <w:t>35 New Zealand</w:t>
            </w:r>
          </w:p>
        </w:tc>
        <w:tc>
          <w:tcPr>
            <w:tcW w:w="2254" w:type="dxa"/>
          </w:tcPr>
          <w:p w14:paraId="7017FDD9" w14:textId="77777777" w:rsidR="006919DA" w:rsidRPr="008E7758" w:rsidRDefault="006919DA" w:rsidP="004B3253">
            <w:pPr>
              <w:jc w:val="right"/>
              <w:rPr>
                <w:sz w:val="20"/>
                <w:szCs w:val="20"/>
              </w:rPr>
            </w:pPr>
            <w:r w:rsidRPr="008E7758">
              <w:rPr>
                <w:sz w:val="20"/>
                <w:szCs w:val="20"/>
              </w:rPr>
              <w:t>39 Canada</w:t>
            </w:r>
          </w:p>
        </w:tc>
        <w:tc>
          <w:tcPr>
            <w:tcW w:w="2254" w:type="dxa"/>
          </w:tcPr>
          <w:p w14:paraId="63726DBC" w14:textId="77777777" w:rsidR="006919DA" w:rsidRPr="008E7758" w:rsidRDefault="006919DA" w:rsidP="004B3253">
            <w:pPr>
              <w:jc w:val="right"/>
              <w:rPr>
                <w:sz w:val="20"/>
                <w:szCs w:val="20"/>
              </w:rPr>
            </w:pPr>
            <w:r w:rsidRPr="008E7758">
              <w:rPr>
                <w:sz w:val="20"/>
                <w:szCs w:val="20"/>
              </w:rPr>
              <w:t>32 Thailand</w:t>
            </w:r>
          </w:p>
        </w:tc>
      </w:tr>
      <w:tr w:rsidR="006919DA" w14:paraId="19EA57E3" w14:textId="77777777" w:rsidTr="004B3253">
        <w:tc>
          <w:tcPr>
            <w:tcW w:w="2254" w:type="dxa"/>
          </w:tcPr>
          <w:p w14:paraId="7289CF3F" w14:textId="77777777" w:rsidR="006919DA" w:rsidRPr="008E7758" w:rsidRDefault="006919DA" w:rsidP="004B3253">
            <w:pPr>
              <w:jc w:val="right"/>
              <w:rPr>
                <w:sz w:val="20"/>
                <w:szCs w:val="20"/>
              </w:rPr>
            </w:pPr>
            <w:r w:rsidRPr="008E7758">
              <w:rPr>
                <w:sz w:val="20"/>
                <w:szCs w:val="20"/>
              </w:rPr>
              <w:t>Fanta Orange</w:t>
            </w:r>
          </w:p>
        </w:tc>
        <w:tc>
          <w:tcPr>
            <w:tcW w:w="2254" w:type="dxa"/>
          </w:tcPr>
          <w:p w14:paraId="2BE092DB" w14:textId="77777777" w:rsidR="006919DA" w:rsidRPr="008E7758" w:rsidRDefault="006919DA" w:rsidP="004B3253">
            <w:pPr>
              <w:jc w:val="right"/>
              <w:rPr>
                <w:sz w:val="20"/>
                <w:szCs w:val="20"/>
              </w:rPr>
            </w:pPr>
            <w:r w:rsidRPr="008E7758">
              <w:rPr>
                <w:sz w:val="20"/>
                <w:szCs w:val="20"/>
              </w:rPr>
              <w:t>37 Australia</w:t>
            </w:r>
          </w:p>
          <w:p w14:paraId="616EB5D8" w14:textId="7C626186" w:rsidR="006919DA" w:rsidRPr="008E7758" w:rsidRDefault="006919DA" w:rsidP="004B3253">
            <w:pPr>
              <w:jc w:val="right"/>
              <w:rPr>
                <w:sz w:val="20"/>
                <w:szCs w:val="20"/>
              </w:rPr>
            </w:pPr>
            <w:r w:rsidRPr="008E7758">
              <w:rPr>
                <w:sz w:val="20"/>
                <w:szCs w:val="20"/>
              </w:rPr>
              <w:t>41 New Zealand</w:t>
            </w:r>
          </w:p>
        </w:tc>
        <w:tc>
          <w:tcPr>
            <w:tcW w:w="2254" w:type="dxa"/>
          </w:tcPr>
          <w:p w14:paraId="6F431AF3" w14:textId="77777777" w:rsidR="006919DA" w:rsidRPr="008E7758" w:rsidRDefault="006919DA" w:rsidP="004B3253">
            <w:pPr>
              <w:jc w:val="right"/>
              <w:rPr>
                <w:sz w:val="20"/>
                <w:szCs w:val="20"/>
              </w:rPr>
            </w:pPr>
            <w:r w:rsidRPr="008E7758">
              <w:rPr>
                <w:sz w:val="20"/>
                <w:szCs w:val="20"/>
              </w:rPr>
              <w:t>43 India</w:t>
            </w:r>
          </w:p>
        </w:tc>
        <w:tc>
          <w:tcPr>
            <w:tcW w:w="2254" w:type="dxa"/>
          </w:tcPr>
          <w:p w14:paraId="7C6DC34D" w14:textId="77777777" w:rsidR="006919DA" w:rsidRPr="008E7758" w:rsidRDefault="006919DA" w:rsidP="004B3253">
            <w:pPr>
              <w:jc w:val="right"/>
              <w:rPr>
                <w:sz w:val="20"/>
                <w:szCs w:val="20"/>
              </w:rPr>
            </w:pPr>
            <w:r w:rsidRPr="008E7758">
              <w:rPr>
                <w:sz w:val="20"/>
                <w:szCs w:val="20"/>
              </w:rPr>
              <w:t>23 UK</w:t>
            </w:r>
          </w:p>
        </w:tc>
      </w:tr>
      <w:tr w:rsidR="006919DA" w14:paraId="25654565" w14:textId="77777777" w:rsidTr="004B3253">
        <w:tc>
          <w:tcPr>
            <w:tcW w:w="2254" w:type="dxa"/>
          </w:tcPr>
          <w:p w14:paraId="4E3A5D21" w14:textId="77777777" w:rsidR="006919DA" w:rsidRPr="008E7758" w:rsidRDefault="006919DA" w:rsidP="004B3253">
            <w:pPr>
              <w:jc w:val="right"/>
              <w:rPr>
                <w:sz w:val="20"/>
                <w:szCs w:val="20"/>
              </w:rPr>
            </w:pPr>
            <w:r w:rsidRPr="008E7758">
              <w:rPr>
                <w:sz w:val="20"/>
                <w:szCs w:val="20"/>
              </w:rPr>
              <w:t>Schweppes Tonic Water</w:t>
            </w:r>
          </w:p>
        </w:tc>
        <w:tc>
          <w:tcPr>
            <w:tcW w:w="2254" w:type="dxa"/>
          </w:tcPr>
          <w:p w14:paraId="3013A7A3" w14:textId="77777777" w:rsidR="006919DA" w:rsidRPr="008E7758" w:rsidRDefault="006919DA" w:rsidP="004B3253">
            <w:pPr>
              <w:jc w:val="right"/>
              <w:rPr>
                <w:sz w:val="20"/>
                <w:szCs w:val="20"/>
              </w:rPr>
            </w:pPr>
            <w:r w:rsidRPr="008E7758">
              <w:rPr>
                <w:sz w:val="20"/>
                <w:szCs w:val="20"/>
              </w:rPr>
              <w:t>N/A Australia</w:t>
            </w:r>
          </w:p>
          <w:p w14:paraId="7D12DA39" w14:textId="77777777" w:rsidR="006919DA" w:rsidRPr="008E7758" w:rsidRDefault="006919DA" w:rsidP="004B3253">
            <w:pPr>
              <w:jc w:val="right"/>
              <w:rPr>
                <w:sz w:val="20"/>
                <w:szCs w:val="20"/>
              </w:rPr>
            </w:pPr>
            <w:r w:rsidRPr="008E7758">
              <w:rPr>
                <w:sz w:val="20"/>
                <w:szCs w:val="20"/>
              </w:rPr>
              <w:t>29 New Zealand</w:t>
            </w:r>
          </w:p>
        </w:tc>
        <w:tc>
          <w:tcPr>
            <w:tcW w:w="2254" w:type="dxa"/>
          </w:tcPr>
          <w:p w14:paraId="574ABDE2" w14:textId="77777777" w:rsidR="006919DA" w:rsidRPr="008E7758" w:rsidRDefault="006919DA" w:rsidP="004B3253">
            <w:pPr>
              <w:jc w:val="right"/>
              <w:rPr>
                <w:sz w:val="20"/>
                <w:szCs w:val="20"/>
              </w:rPr>
            </w:pPr>
            <w:r w:rsidRPr="008E7758">
              <w:rPr>
                <w:sz w:val="20"/>
                <w:szCs w:val="20"/>
              </w:rPr>
              <w:t>45 USA</w:t>
            </w:r>
          </w:p>
        </w:tc>
        <w:tc>
          <w:tcPr>
            <w:tcW w:w="2254" w:type="dxa"/>
          </w:tcPr>
          <w:p w14:paraId="696366A2" w14:textId="77777777" w:rsidR="006919DA" w:rsidRPr="008E7758" w:rsidRDefault="006919DA" w:rsidP="004B3253">
            <w:pPr>
              <w:jc w:val="right"/>
              <w:rPr>
                <w:sz w:val="20"/>
                <w:szCs w:val="20"/>
              </w:rPr>
            </w:pPr>
            <w:r w:rsidRPr="008E7758">
              <w:rPr>
                <w:sz w:val="20"/>
                <w:szCs w:val="20"/>
              </w:rPr>
              <w:t>16 Argentina</w:t>
            </w:r>
          </w:p>
        </w:tc>
      </w:tr>
      <w:tr w:rsidR="006919DA" w14:paraId="0428D669" w14:textId="77777777" w:rsidTr="004B3253">
        <w:tc>
          <w:tcPr>
            <w:tcW w:w="2254" w:type="dxa"/>
          </w:tcPr>
          <w:p w14:paraId="392406CA" w14:textId="77777777" w:rsidR="006919DA" w:rsidRPr="008E7758" w:rsidRDefault="006919DA" w:rsidP="004B3253">
            <w:pPr>
              <w:jc w:val="right"/>
              <w:rPr>
                <w:sz w:val="20"/>
                <w:szCs w:val="20"/>
              </w:rPr>
            </w:pPr>
            <w:r w:rsidRPr="008E7758">
              <w:rPr>
                <w:sz w:val="20"/>
                <w:szCs w:val="20"/>
              </w:rPr>
              <w:t>Sprite</w:t>
            </w:r>
          </w:p>
        </w:tc>
        <w:tc>
          <w:tcPr>
            <w:tcW w:w="2254" w:type="dxa"/>
          </w:tcPr>
          <w:p w14:paraId="362537B8" w14:textId="77777777" w:rsidR="006919DA" w:rsidRPr="008E7758" w:rsidRDefault="006919DA" w:rsidP="004B3253">
            <w:pPr>
              <w:jc w:val="right"/>
              <w:rPr>
                <w:sz w:val="20"/>
                <w:szCs w:val="20"/>
              </w:rPr>
            </w:pPr>
            <w:r w:rsidRPr="008E7758">
              <w:rPr>
                <w:sz w:val="20"/>
                <w:szCs w:val="20"/>
              </w:rPr>
              <w:t>33 Australia</w:t>
            </w:r>
          </w:p>
          <w:p w14:paraId="4CD75A7F" w14:textId="654459BF" w:rsidR="006919DA" w:rsidRPr="008E7758" w:rsidRDefault="006919DA" w:rsidP="004B3253">
            <w:pPr>
              <w:jc w:val="right"/>
              <w:rPr>
                <w:sz w:val="20"/>
                <w:szCs w:val="20"/>
              </w:rPr>
            </w:pPr>
            <w:r w:rsidRPr="008E7758">
              <w:rPr>
                <w:sz w:val="20"/>
                <w:szCs w:val="20"/>
              </w:rPr>
              <w:t>33 New Zealand</w:t>
            </w:r>
          </w:p>
        </w:tc>
        <w:tc>
          <w:tcPr>
            <w:tcW w:w="2254" w:type="dxa"/>
          </w:tcPr>
          <w:p w14:paraId="7CB78D01" w14:textId="77777777" w:rsidR="006919DA" w:rsidRPr="008E7758" w:rsidRDefault="006919DA" w:rsidP="004B3253">
            <w:pPr>
              <w:jc w:val="right"/>
              <w:rPr>
                <w:sz w:val="20"/>
                <w:szCs w:val="20"/>
              </w:rPr>
            </w:pPr>
            <w:r w:rsidRPr="008E7758">
              <w:rPr>
                <w:sz w:val="20"/>
                <w:szCs w:val="20"/>
              </w:rPr>
              <w:t>47 Thailand</w:t>
            </w:r>
          </w:p>
        </w:tc>
        <w:tc>
          <w:tcPr>
            <w:tcW w:w="2254" w:type="dxa"/>
          </w:tcPr>
          <w:p w14:paraId="28A95B85" w14:textId="77777777" w:rsidR="006919DA" w:rsidRPr="008E7758" w:rsidRDefault="006919DA" w:rsidP="004B3253">
            <w:pPr>
              <w:jc w:val="right"/>
              <w:rPr>
                <w:sz w:val="20"/>
                <w:szCs w:val="20"/>
              </w:rPr>
            </w:pPr>
            <w:r w:rsidRPr="008E7758">
              <w:rPr>
                <w:sz w:val="20"/>
                <w:szCs w:val="20"/>
              </w:rPr>
              <w:t>19 Austria</w:t>
            </w:r>
          </w:p>
        </w:tc>
      </w:tr>
    </w:tbl>
    <w:p w14:paraId="693BB20E" w14:textId="77777777" w:rsidR="00F15AE8" w:rsidRDefault="00F15AE8" w:rsidP="006919DA"/>
    <w:p w14:paraId="7BB4468F" w14:textId="2119A6ED" w:rsidR="007161AB" w:rsidRDefault="006B2999" w:rsidP="006919DA">
      <w:r>
        <w:t>The survey suggests there is room for the industry to further reduce the sugar content of sugar-sweetened beverages in Australia and New Zealand. However, it is relevant to note that t</w:t>
      </w:r>
      <w:r w:rsidR="006919DA">
        <w:t xml:space="preserve">he survey by Action </w:t>
      </w:r>
      <w:r w:rsidR="009463FD">
        <w:t xml:space="preserve">on Sugar was undertaken in 2015 and there is evidence that sugar content of </w:t>
      </w:r>
      <w:r>
        <w:t xml:space="preserve">some </w:t>
      </w:r>
      <w:r w:rsidR="009463FD">
        <w:t xml:space="preserve">beverages in Australia and New Zealand has </w:t>
      </w:r>
      <w:r w:rsidR="009463FD" w:rsidRPr="00110EB0">
        <w:t>reduced since this time</w:t>
      </w:r>
      <w:r w:rsidR="00222C5C" w:rsidRPr="00110EB0">
        <w:t xml:space="preserve"> with part of the sugar content being replaced with intense sweeteners</w:t>
      </w:r>
      <w:r w:rsidRPr="00110EB0">
        <w:rPr>
          <w:rStyle w:val="FootnoteReference"/>
        </w:rPr>
        <w:footnoteReference w:id="147"/>
      </w:r>
      <w:r w:rsidRPr="00110EB0">
        <w:t xml:space="preserve">. </w:t>
      </w:r>
      <w:r w:rsidR="00222C5C" w:rsidRPr="00110EB0">
        <w:t>This reduces sugar intakes but may not shift the population’s preference for a given level of sweetness.</w:t>
      </w:r>
      <w:r w:rsidR="00222C5C">
        <w:t xml:space="preserve"> </w:t>
      </w:r>
      <w:r>
        <w:t>R</w:t>
      </w:r>
      <w:r w:rsidR="006919DA">
        <w:t xml:space="preserve">eformulation </w:t>
      </w:r>
      <w:r w:rsidR="4646A423">
        <w:t xml:space="preserve">in response to taxation or </w:t>
      </w:r>
      <w:r w:rsidR="006919DA">
        <w:t xml:space="preserve">through voluntary industry initiatives may </w:t>
      </w:r>
      <w:r>
        <w:t xml:space="preserve">also </w:t>
      </w:r>
      <w:r w:rsidR="006919DA">
        <w:t xml:space="preserve">have occurred </w:t>
      </w:r>
      <w:r w:rsidR="009155DA">
        <w:t>internationally since 2015.</w:t>
      </w:r>
    </w:p>
    <w:p w14:paraId="15AECC7B" w14:textId="3378B651" w:rsidR="005803F7" w:rsidRDefault="005803F7" w:rsidP="005803F7">
      <w:pPr>
        <w:rPr>
          <w:lang w:val="en-NZ"/>
        </w:rPr>
      </w:pPr>
      <w:bookmarkStart w:id="73" w:name="_Hlk47525272"/>
      <w:r>
        <w:rPr>
          <w:lang w:val="en-NZ"/>
        </w:rPr>
        <w:t xml:space="preserve">The </w:t>
      </w:r>
      <w:r w:rsidRPr="001E14E2">
        <w:rPr>
          <w:i/>
          <w:lang w:val="en-NZ"/>
        </w:rPr>
        <w:t xml:space="preserve">New Zealand </w:t>
      </w:r>
      <w:r w:rsidR="001E14E2" w:rsidRPr="001E14E2">
        <w:rPr>
          <w:i/>
          <w:lang w:val="en-NZ"/>
        </w:rPr>
        <w:t xml:space="preserve">Gs1 </w:t>
      </w:r>
      <w:proofErr w:type="gramStart"/>
      <w:r w:rsidRPr="001E14E2">
        <w:rPr>
          <w:i/>
          <w:lang w:val="en-NZ"/>
        </w:rPr>
        <w:t>On</w:t>
      </w:r>
      <w:proofErr w:type="gramEnd"/>
      <w:r w:rsidRPr="001E14E2">
        <w:rPr>
          <w:i/>
          <w:lang w:val="en-NZ"/>
        </w:rPr>
        <w:t xml:space="preserve"> Pack Label Database</w:t>
      </w:r>
      <w:r>
        <w:rPr>
          <w:lang w:val="en-NZ"/>
        </w:rPr>
        <w:t xml:space="preserve"> provides label data on branded food products available in the New Zealand food supply. This database was used to examine the sugar content of the ready to drink flavoured drinks category. This includes sweetened carbonated and uncarbonated non-dairy beverages (both intense sweetened and sugar sweetened beverages, excludes fruit juices). Of the 690 flavoured non-dairy beverages available for sale in New Zealand in the last year, 554 products contained sugar (0.1 to 13.2 g of sugar per 100mL; median 7.8 grams per 100mL). The distribution of the sugar content of the beverages is outlined in Table 4. One quarter of the beverages that contained sugar had mo</w:t>
      </w:r>
      <w:r w:rsidR="007057BF">
        <w:rPr>
          <w:lang w:val="en-NZ"/>
        </w:rPr>
        <w:t xml:space="preserve">re than 10g </w:t>
      </w:r>
      <w:r w:rsidR="007057BF">
        <w:rPr>
          <w:lang w:val="en-NZ"/>
        </w:rPr>
        <w:lastRenderedPageBreak/>
        <w:t xml:space="preserve">of sugar per 100mL. (Note Australia is currently developing a food label database which would enable similar analysis). </w:t>
      </w:r>
    </w:p>
    <w:p w14:paraId="1919FBBD" w14:textId="1DD96369" w:rsidR="005803F7" w:rsidRPr="005803F7" w:rsidRDefault="005803F7" w:rsidP="005803F7">
      <w:pPr>
        <w:pStyle w:val="Caption"/>
        <w:keepNext/>
        <w:rPr>
          <w:b/>
          <w:color w:val="auto"/>
          <w:sz w:val="24"/>
          <w:szCs w:val="24"/>
        </w:rPr>
      </w:pPr>
      <w:r w:rsidRPr="005803F7">
        <w:rPr>
          <w:b/>
          <w:color w:val="auto"/>
          <w:sz w:val="24"/>
          <w:szCs w:val="24"/>
        </w:rPr>
        <w:t>Table 4: Sugar content of sugar-sweetened beverages in New Zealand</w:t>
      </w:r>
      <w:r w:rsidR="00750B23">
        <w:rPr>
          <w:b/>
          <w:color w:val="auto"/>
          <w:sz w:val="24"/>
          <w:szCs w:val="24"/>
        </w:rPr>
        <w:t xml:space="preserve"> 2019-2020</w:t>
      </w:r>
      <w:r w:rsidR="007F4A24">
        <w:rPr>
          <w:rStyle w:val="FootnoteReference"/>
          <w:b/>
          <w:color w:val="auto"/>
          <w:sz w:val="24"/>
          <w:szCs w:val="24"/>
        </w:rPr>
        <w:footnoteReference w:id="148"/>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Caption w:val="Table 4: Sugar content of sugar-sweetened beverages in New Zealand in 2019-2020"/>
        <w:tblDescription w:val="Table with 2 columns. Column 1: Provides a range for sugar content per 100mL. Column 2: Provides information on how many products have a sugar content within that range. "/>
      </w:tblPr>
      <w:tblGrid>
        <w:gridCol w:w="2405"/>
        <w:gridCol w:w="2552"/>
      </w:tblGrid>
      <w:tr w:rsidR="005803F7" w14:paraId="3BAF0B39" w14:textId="77777777" w:rsidTr="00DD1F8C">
        <w:trPr>
          <w:tblHeader/>
        </w:trPr>
        <w:tc>
          <w:tcPr>
            <w:tcW w:w="2405" w:type="dxa"/>
            <w:tcMar>
              <w:top w:w="0" w:type="dxa"/>
              <w:left w:w="108" w:type="dxa"/>
              <w:bottom w:w="0" w:type="dxa"/>
              <w:right w:w="108" w:type="dxa"/>
            </w:tcMar>
            <w:hideMark/>
          </w:tcPr>
          <w:p w14:paraId="6DE74C8B" w14:textId="77777777" w:rsidR="005803F7" w:rsidRPr="007057BF" w:rsidRDefault="005803F7">
            <w:pPr>
              <w:rPr>
                <w:b/>
                <w:bCs/>
                <w:sz w:val="20"/>
                <w:szCs w:val="20"/>
              </w:rPr>
            </w:pPr>
            <w:r w:rsidRPr="007057BF">
              <w:rPr>
                <w:b/>
                <w:bCs/>
                <w:sz w:val="20"/>
                <w:szCs w:val="20"/>
              </w:rPr>
              <w:t xml:space="preserve">Sugar content per 100mL </w:t>
            </w:r>
          </w:p>
        </w:tc>
        <w:tc>
          <w:tcPr>
            <w:tcW w:w="2552" w:type="dxa"/>
            <w:tcMar>
              <w:top w:w="0" w:type="dxa"/>
              <w:left w:w="108" w:type="dxa"/>
              <w:bottom w:w="0" w:type="dxa"/>
              <w:right w:w="108" w:type="dxa"/>
            </w:tcMar>
            <w:hideMark/>
          </w:tcPr>
          <w:p w14:paraId="5D7063BC" w14:textId="77777777" w:rsidR="005803F7" w:rsidRPr="007057BF" w:rsidRDefault="005803F7">
            <w:pPr>
              <w:rPr>
                <w:b/>
                <w:bCs/>
                <w:sz w:val="20"/>
                <w:szCs w:val="20"/>
              </w:rPr>
            </w:pPr>
            <w:r w:rsidRPr="007057BF">
              <w:rPr>
                <w:b/>
                <w:bCs/>
                <w:sz w:val="20"/>
                <w:szCs w:val="20"/>
              </w:rPr>
              <w:t xml:space="preserve">Number of products </w:t>
            </w:r>
          </w:p>
        </w:tc>
      </w:tr>
      <w:tr w:rsidR="005803F7" w14:paraId="6A3F6B67" w14:textId="77777777" w:rsidTr="007057BF">
        <w:tc>
          <w:tcPr>
            <w:tcW w:w="2405" w:type="dxa"/>
            <w:tcMar>
              <w:top w:w="0" w:type="dxa"/>
              <w:left w:w="108" w:type="dxa"/>
              <w:bottom w:w="0" w:type="dxa"/>
              <w:right w:w="108" w:type="dxa"/>
            </w:tcMar>
            <w:hideMark/>
          </w:tcPr>
          <w:p w14:paraId="454E6113" w14:textId="77777777" w:rsidR="005803F7" w:rsidRPr="007057BF" w:rsidRDefault="005803F7">
            <w:pPr>
              <w:rPr>
                <w:sz w:val="20"/>
                <w:szCs w:val="20"/>
              </w:rPr>
            </w:pPr>
            <w:r w:rsidRPr="007057BF">
              <w:rPr>
                <w:sz w:val="20"/>
                <w:szCs w:val="20"/>
              </w:rPr>
              <w:t>≤ 5g</w:t>
            </w:r>
          </w:p>
        </w:tc>
        <w:tc>
          <w:tcPr>
            <w:tcW w:w="2552" w:type="dxa"/>
            <w:tcMar>
              <w:top w:w="0" w:type="dxa"/>
              <w:left w:w="108" w:type="dxa"/>
              <w:bottom w:w="0" w:type="dxa"/>
              <w:right w:w="108" w:type="dxa"/>
            </w:tcMar>
            <w:hideMark/>
          </w:tcPr>
          <w:p w14:paraId="6AEEE7CC" w14:textId="77777777" w:rsidR="005803F7" w:rsidRPr="007057BF" w:rsidRDefault="005803F7">
            <w:pPr>
              <w:rPr>
                <w:sz w:val="20"/>
                <w:szCs w:val="20"/>
              </w:rPr>
            </w:pPr>
            <w:r w:rsidRPr="007057BF">
              <w:rPr>
                <w:sz w:val="20"/>
                <w:szCs w:val="20"/>
              </w:rPr>
              <w:t>184</w:t>
            </w:r>
          </w:p>
        </w:tc>
      </w:tr>
      <w:tr w:rsidR="005803F7" w14:paraId="78024DB3" w14:textId="77777777" w:rsidTr="007057BF">
        <w:trPr>
          <w:trHeight w:val="264"/>
        </w:trPr>
        <w:tc>
          <w:tcPr>
            <w:tcW w:w="2405" w:type="dxa"/>
            <w:tcMar>
              <w:top w:w="0" w:type="dxa"/>
              <w:left w:w="108" w:type="dxa"/>
              <w:bottom w:w="0" w:type="dxa"/>
              <w:right w:w="108" w:type="dxa"/>
            </w:tcMar>
            <w:hideMark/>
          </w:tcPr>
          <w:p w14:paraId="1E0836A5" w14:textId="77777777" w:rsidR="005803F7" w:rsidRPr="007057BF" w:rsidRDefault="005803F7">
            <w:pPr>
              <w:rPr>
                <w:sz w:val="20"/>
                <w:szCs w:val="20"/>
              </w:rPr>
            </w:pPr>
            <w:r w:rsidRPr="007057BF">
              <w:rPr>
                <w:sz w:val="20"/>
                <w:szCs w:val="20"/>
              </w:rPr>
              <w:t>5.1-10g</w:t>
            </w:r>
          </w:p>
        </w:tc>
        <w:tc>
          <w:tcPr>
            <w:tcW w:w="2552" w:type="dxa"/>
            <w:tcMar>
              <w:top w:w="0" w:type="dxa"/>
              <w:left w:w="108" w:type="dxa"/>
              <w:bottom w:w="0" w:type="dxa"/>
              <w:right w:w="108" w:type="dxa"/>
            </w:tcMar>
            <w:hideMark/>
          </w:tcPr>
          <w:p w14:paraId="3C2524D2" w14:textId="77777777" w:rsidR="005803F7" w:rsidRPr="007057BF" w:rsidRDefault="005803F7">
            <w:pPr>
              <w:rPr>
                <w:sz w:val="20"/>
                <w:szCs w:val="20"/>
              </w:rPr>
            </w:pPr>
            <w:r w:rsidRPr="007057BF">
              <w:rPr>
                <w:sz w:val="20"/>
                <w:szCs w:val="20"/>
              </w:rPr>
              <w:t>231</w:t>
            </w:r>
          </w:p>
        </w:tc>
      </w:tr>
      <w:tr w:rsidR="005803F7" w14:paraId="1407E025" w14:textId="77777777" w:rsidTr="007057BF">
        <w:tc>
          <w:tcPr>
            <w:tcW w:w="2405" w:type="dxa"/>
            <w:tcMar>
              <w:top w:w="0" w:type="dxa"/>
              <w:left w:w="108" w:type="dxa"/>
              <w:bottom w:w="0" w:type="dxa"/>
              <w:right w:w="108" w:type="dxa"/>
            </w:tcMar>
            <w:hideMark/>
          </w:tcPr>
          <w:p w14:paraId="0B6BBBD3" w14:textId="77777777" w:rsidR="005803F7" w:rsidRPr="007057BF" w:rsidRDefault="005803F7">
            <w:pPr>
              <w:rPr>
                <w:sz w:val="20"/>
                <w:szCs w:val="20"/>
              </w:rPr>
            </w:pPr>
            <w:r w:rsidRPr="007057BF">
              <w:rPr>
                <w:sz w:val="20"/>
                <w:szCs w:val="20"/>
              </w:rPr>
              <w:t>&gt;10g</w:t>
            </w:r>
          </w:p>
        </w:tc>
        <w:tc>
          <w:tcPr>
            <w:tcW w:w="2552" w:type="dxa"/>
            <w:tcMar>
              <w:top w:w="0" w:type="dxa"/>
              <w:left w:w="108" w:type="dxa"/>
              <w:bottom w:w="0" w:type="dxa"/>
              <w:right w:w="108" w:type="dxa"/>
            </w:tcMar>
            <w:hideMark/>
          </w:tcPr>
          <w:p w14:paraId="3F11416E" w14:textId="77777777" w:rsidR="005803F7" w:rsidRPr="007057BF" w:rsidRDefault="005803F7">
            <w:pPr>
              <w:rPr>
                <w:sz w:val="20"/>
                <w:szCs w:val="20"/>
              </w:rPr>
            </w:pPr>
            <w:r w:rsidRPr="007057BF">
              <w:rPr>
                <w:sz w:val="20"/>
                <w:szCs w:val="20"/>
              </w:rPr>
              <w:t>139</w:t>
            </w:r>
          </w:p>
        </w:tc>
      </w:tr>
    </w:tbl>
    <w:p w14:paraId="565759E2" w14:textId="77777777" w:rsidR="00A26BB3" w:rsidRDefault="00A26BB3" w:rsidP="00D44D58"/>
    <w:p w14:paraId="1233CE65" w14:textId="614605BF" w:rsidR="00D44D58" w:rsidRDefault="00363F7F" w:rsidP="00D44D58">
      <w:r>
        <w:t>In New Zealand,</w:t>
      </w:r>
      <w:r w:rsidR="00D44D58" w:rsidRPr="00D44D58">
        <w:t xml:space="preserve"> researchers from the University of Auckland estimated a 26% reduction in annual household sugar purchases could be achieved if sugar content targets for selected food categories, commonly consumed by children, were introduced</w:t>
      </w:r>
      <w:r w:rsidR="00D44D58" w:rsidRPr="00D44D58">
        <w:rPr>
          <w:rStyle w:val="FootnoteReference"/>
        </w:rPr>
        <w:footnoteReference w:id="149"/>
      </w:r>
      <w:r w:rsidR="00D44D58" w:rsidRPr="00D44D58">
        <w:t>. This included sugar content targets for 22 food groups contributing 2% or more two NZ children’s total sugar content. Food categories with the smallest percentage of products meeting the sugar content targets were electrolyte drinks and flavoured dairy milk.</w:t>
      </w:r>
      <w:r w:rsidR="00D44D58">
        <w:t xml:space="preserve"> </w:t>
      </w:r>
    </w:p>
    <w:bookmarkEnd w:id="73"/>
    <w:p w14:paraId="40D5E060" w14:textId="27108642" w:rsidR="006919DA" w:rsidRDefault="00D06C41" w:rsidP="006919DA">
      <w:r>
        <w:t>In Australia</w:t>
      </w:r>
      <w:r w:rsidR="00AA6982">
        <w:t>,</w:t>
      </w:r>
      <w:r>
        <w:t xml:space="preserve"> t</w:t>
      </w:r>
      <w:r w:rsidR="006919DA">
        <w:t>he</w:t>
      </w:r>
      <w:r w:rsidR="007161AB">
        <w:t>re</w:t>
      </w:r>
      <w:r w:rsidR="006919DA">
        <w:t xml:space="preserve"> are industry initiatives to voluntarily reduce sugar content in beverages</w:t>
      </w:r>
      <w:r w:rsidR="006919DA">
        <w:rPr>
          <w:rStyle w:val="FootnoteReference"/>
        </w:rPr>
        <w:footnoteReference w:id="150"/>
      </w:r>
      <w:r w:rsidR="006919DA">
        <w:t xml:space="preserve">, however, the industry can do so by offering </w:t>
      </w:r>
      <w:proofErr w:type="gramStart"/>
      <w:r w:rsidR="006919DA">
        <w:t>more low</w:t>
      </w:r>
      <w:proofErr w:type="gramEnd"/>
      <w:r w:rsidR="006919DA">
        <w:t xml:space="preserve"> and no sugar options</w:t>
      </w:r>
      <w:r w:rsidR="0A49375F">
        <w:t>,</w:t>
      </w:r>
      <w:r w:rsidR="00F15AE8">
        <w:t xml:space="preserve"> rather than changing the formulation of the</w:t>
      </w:r>
      <w:r w:rsidR="006919DA">
        <w:t xml:space="preserve"> original ‘full sugar’ varieties. Behaviour change by consumers is still required to switch to a lower or no sugar variety</w:t>
      </w:r>
      <w:r w:rsidR="00F15AE8">
        <w:t xml:space="preserve"> of that beverage</w:t>
      </w:r>
      <w:r w:rsidR="006919DA">
        <w:t xml:space="preserve">. </w:t>
      </w:r>
      <w:r w:rsidR="00B8595B">
        <w:t>Reformulation</w:t>
      </w:r>
      <w:r w:rsidR="001D2369">
        <w:t xml:space="preserve"> of ‘full sugar’ varieties </w:t>
      </w:r>
      <w:r w:rsidR="006919DA">
        <w:t>has the potential support consumers who are not responsive to messages about behaviour change</w:t>
      </w:r>
      <w:r w:rsidR="00F15AE8">
        <w:t xml:space="preserve"> as reformulation would reduce</w:t>
      </w:r>
      <w:r w:rsidR="006919DA">
        <w:t xml:space="preserve"> the </w:t>
      </w:r>
      <w:proofErr w:type="gramStart"/>
      <w:r w:rsidR="006919DA">
        <w:t>amount</w:t>
      </w:r>
      <w:proofErr w:type="gramEnd"/>
      <w:r w:rsidR="006919DA">
        <w:t xml:space="preserve"> of sugars in the beverages they consume. Australian Bureau of Statistics data reveals that</w:t>
      </w:r>
      <w:r w:rsidR="56101EB8">
        <w:t>,</w:t>
      </w:r>
      <w:r w:rsidR="006919DA">
        <w:t xml:space="preserve"> while consumption of sugary </w:t>
      </w:r>
      <w:r w:rsidR="00F15AE8">
        <w:t>beverages</w:t>
      </w:r>
      <w:r w:rsidR="006919DA">
        <w:t xml:space="preserve"> is decreasing</w:t>
      </w:r>
      <w:r w:rsidR="006919DA">
        <w:rPr>
          <w:rStyle w:val="FootnoteReference"/>
        </w:rPr>
        <w:footnoteReference w:id="151"/>
      </w:r>
      <w:r w:rsidR="006919DA">
        <w:t xml:space="preserve">, sugary </w:t>
      </w:r>
      <w:r w:rsidR="00F15AE8">
        <w:t>beverages</w:t>
      </w:r>
      <w:r w:rsidR="006919DA">
        <w:t xml:space="preserve"> are still consumed more commonly than diet</w:t>
      </w:r>
      <w:r w:rsidR="00F15AE8">
        <w:t xml:space="preserve"> (low or no sugar)</w:t>
      </w:r>
      <w:r w:rsidR="006919DA">
        <w:t xml:space="preserve"> </w:t>
      </w:r>
      <w:r w:rsidR="00F15AE8">
        <w:t>varieties</w:t>
      </w:r>
      <w:r w:rsidR="006919DA">
        <w:t xml:space="preserve"> (</w:t>
      </w:r>
      <w:r w:rsidR="00AA1A42">
        <w:t>i</w:t>
      </w:r>
      <w:r w:rsidR="006919DA">
        <w:t xml:space="preserve">n 2017/18, 9.1% of Australians consumed sugary </w:t>
      </w:r>
      <w:r w:rsidR="00F15AE8">
        <w:t>beverages</w:t>
      </w:r>
      <w:r w:rsidR="006919DA">
        <w:t xml:space="preserve"> daily, compared to 4.8% that consume diet </w:t>
      </w:r>
      <w:r w:rsidR="00F15AE8">
        <w:t>beverages</w:t>
      </w:r>
      <w:r w:rsidR="006919DA">
        <w:t xml:space="preserve"> daily</w:t>
      </w:r>
      <w:r w:rsidR="006919DA">
        <w:rPr>
          <w:rStyle w:val="FootnoteReference"/>
        </w:rPr>
        <w:footnoteReference w:id="152"/>
      </w:r>
      <w:r w:rsidR="006919DA">
        <w:t xml:space="preserve">). </w:t>
      </w:r>
    </w:p>
    <w:p w14:paraId="64AF060F" w14:textId="71C97A28" w:rsidR="007161AB" w:rsidRDefault="5B105FB1" w:rsidP="2CF3C489">
      <w:r>
        <w:t>R</w:t>
      </w:r>
      <w:r w:rsidR="00800394">
        <w:t>eformulation target</w:t>
      </w:r>
      <w:r w:rsidR="60AA26E1">
        <w:t>s are under consideration through the Healthy Food</w:t>
      </w:r>
      <w:r w:rsidR="006919DA">
        <w:t xml:space="preserve"> </w:t>
      </w:r>
      <w:r w:rsidR="15BB45B8">
        <w:t xml:space="preserve">Partnership </w:t>
      </w:r>
      <w:r w:rsidR="006919DA">
        <w:t xml:space="preserve">for sugar </w:t>
      </w:r>
      <w:r w:rsidR="00800394">
        <w:t>in beverages such as soft drinks,</w:t>
      </w:r>
      <w:r w:rsidR="000B3D78">
        <w:t xml:space="preserve"> fruit drinks,</w:t>
      </w:r>
      <w:r w:rsidR="00800394">
        <w:t xml:space="preserve"> flavoured water, mineral water, soda water and ice-teas</w:t>
      </w:r>
      <w:r w:rsidR="4756CCD6">
        <w:t xml:space="preserve">, </w:t>
      </w:r>
      <w:r w:rsidR="000B3D78">
        <w:t xml:space="preserve">and </w:t>
      </w:r>
      <w:r w:rsidR="4756CCD6">
        <w:t>flavoured milks</w:t>
      </w:r>
      <w:r w:rsidR="232EAAAB">
        <w:t xml:space="preserve">. </w:t>
      </w:r>
      <w:r w:rsidR="007161AB">
        <w:t xml:space="preserve">The targets are expected to be finalised in late 2020. </w:t>
      </w:r>
    </w:p>
    <w:p w14:paraId="22FAE7D2" w14:textId="52606879" w:rsidR="00D91B42" w:rsidRDefault="00D91B42" w:rsidP="00D91B42">
      <w:r>
        <w:t xml:space="preserve">Labelling changes may also encourage the beverage industry to reduce the sugar content of their products. Under the new calculator being introduced in the HSR front-of-pack labelling </w:t>
      </w:r>
      <w:r>
        <w:lastRenderedPageBreak/>
        <w:t>system from 15 November 2020, sugar sweetened soft drinks will score between 0.5-1.5 stars (depending on the sugar content)</w:t>
      </w:r>
      <w:r>
        <w:rPr>
          <w:rStyle w:val="FootnoteReference"/>
        </w:rPr>
        <w:footnoteReference w:id="153"/>
      </w:r>
      <w:r>
        <w:t xml:space="preserve">. </w:t>
      </w:r>
    </w:p>
    <w:p w14:paraId="5960523B" w14:textId="33F4AB9B" w:rsidR="00D91B42" w:rsidRDefault="00D91B42" w:rsidP="2CF3C489">
      <w:r>
        <w:t xml:space="preserve">In addition, FSANZ is looking at sugar labelling and how to give Australian and New Zealand consumers' better information about added sugar in food to help them make informed and healthier choices. </w:t>
      </w:r>
      <w:r w:rsidR="00B42ED7">
        <w:t>T</w:t>
      </w:r>
      <w:r>
        <w:t xml:space="preserve">he Forum </w:t>
      </w:r>
      <w:r w:rsidR="00B42ED7">
        <w:t xml:space="preserve">requested </w:t>
      </w:r>
      <w:r>
        <w:t xml:space="preserve">FSANZ review nutrition labelling for added sugars and different labelling options, including potentially using pictorial approaches </w:t>
      </w:r>
      <w:r w:rsidR="00276F43">
        <w:t xml:space="preserve">to convey the sugar content of </w:t>
      </w:r>
      <w:r>
        <w:t xml:space="preserve">sugary beverages due to the low uptake of the HSR star graphic in the beverage category. </w:t>
      </w:r>
    </w:p>
    <w:p w14:paraId="4C682DE7" w14:textId="19DD1567" w:rsidR="009155DA" w:rsidRDefault="009155DA" w:rsidP="2CF3C489">
      <w:r>
        <w:t xml:space="preserve">It will be important to monitor the impacts of sugar reformulation activities, both in response to labelling </w:t>
      </w:r>
      <w:proofErr w:type="gramStart"/>
      <w:r>
        <w:t>or</w:t>
      </w:r>
      <w:proofErr w:type="gramEnd"/>
      <w:r>
        <w:t xml:space="preserve"> voluntary targets, to identify any unintended consequences. For example, a recent analysis of sugar reformulation occurring in the Canadian food supply</w:t>
      </w:r>
      <w:r w:rsidR="00524A91">
        <w:t xml:space="preserve"> between 2013 and 2017</w:t>
      </w:r>
      <w:r>
        <w:t xml:space="preserve"> identified that while the majority (76.6%) of foods</w:t>
      </w:r>
      <w:r w:rsidR="00524A91">
        <w:t xml:space="preserve"> and beverages</w:t>
      </w:r>
      <w:r>
        <w:t xml:space="preserve"> did not reformulate to reduce sugar content, of the 12.4% of products that were reformulated to reduce sugar content the median energy level did not change as sugars were replaced with starches</w:t>
      </w:r>
      <w:r w:rsidR="00524A91">
        <w:rPr>
          <w:rStyle w:val="FootnoteReference"/>
        </w:rPr>
        <w:footnoteReference w:id="154"/>
      </w:r>
      <w:r w:rsidR="004B0842">
        <w:t>.</w:t>
      </w:r>
    </w:p>
    <w:p w14:paraId="62F2D321" w14:textId="7DF6DEE6" w:rsidR="00D35ED9" w:rsidRDefault="003B5E2D" w:rsidP="003B5E2D">
      <w:pPr>
        <w:pStyle w:val="Heading4"/>
      </w:pPr>
      <w:r>
        <w:t>Conclusion</w:t>
      </w:r>
    </w:p>
    <w:p w14:paraId="136044A4" w14:textId="582DF352" w:rsidR="00D35ED9" w:rsidRDefault="00970D0F" w:rsidP="002C50DE">
      <w:r>
        <w:t xml:space="preserve">Water is promoted above other beverages in Australian and New Zealand dietary advice. </w:t>
      </w:r>
      <w:r w:rsidR="00276F43">
        <w:t>There are</w:t>
      </w:r>
      <w:r w:rsidR="00D35ED9">
        <w:t xml:space="preserve"> established links between sugary beverages and overweight and obesity, and ‘full sugar’ beverages are more popular than diet</w:t>
      </w:r>
      <w:r w:rsidR="00B24D33">
        <w:t>/artificially sweetened</w:t>
      </w:r>
      <w:r w:rsidR="00D35ED9">
        <w:t xml:space="preserve"> beverages</w:t>
      </w:r>
      <w:r w:rsidR="00326F95">
        <w:t xml:space="preserve">. </w:t>
      </w:r>
      <w:r w:rsidR="00D91951">
        <w:t xml:space="preserve">The amount of sugar in sugary </w:t>
      </w:r>
      <w:r w:rsidR="00D91951" w:rsidRPr="00941AFC">
        <w:t>beverages varies considerably.</w:t>
      </w:r>
      <w:r w:rsidR="00D91951">
        <w:t xml:space="preserve"> </w:t>
      </w:r>
      <w:r w:rsidR="00326F95">
        <w:t>While there are voluntary reformulation actions in t</w:t>
      </w:r>
      <w:r w:rsidR="00276F43">
        <w:t>he beverage category</w:t>
      </w:r>
      <w:r w:rsidR="00326F95">
        <w:t xml:space="preserve">, </w:t>
      </w:r>
      <w:r w:rsidR="00941AFC">
        <w:t xml:space="preserve">the industry’s voluntary reformulation activities have largely focussed on reducing sugar content across their portfolio by producing more bottled water or artificially sweetened drinks </w:t>
      </w:r>
      <w:r w:rsidR="001C22D9">
        <w:t xml:space="preserve">and not necessarily </w:t>
      </w:r>
      <w:r w:rsidR="00941AFC">
        <w:t>reformulating ‘full sugar’ products</w:t>
      </w:r>
      <w:r w:rsidR="00326F95">
        <w:t xml:space="preserve">. </w:t>
      </w:r>
      <w:r w:rsidR="00D9202E" w:rsidRPr="00941AFC">
        <w:t>It is recommended that further work to explore options to reduce sugars content of ‘full sugar’ beverages be considered further through the Food Regulation Policy Framework. This activity would complement voluntary actions underway and help to ensure that reformulation of sugary drinks that has been occurring internationally can be accessed by consumers</w:t>
      </w:r>
      <w:r w:rsidR="004B0842">
        <w:t xml:space="preserve"> in Australia and New Zealand.</w:t>
      </w:r>
    </w:p>
    <w:p w14:paraId="4A77C730" w14:textId="2499EC65" w:rsidR="00D9202E" w:rsidRDefault="00D9202E" w:rsidP="002C50DE">
      <w:r>
        <w:t xml:space="preserve">In relation to sugars in foods, it is recommended that time be given to observe the impact of voluntary reformulation actions </w:t>
      </w:r>
      <w:r w:rsidRPr="00110EB0">
        <w:t xml:space="preserve">occurring in Australia, New Zealand and internationally before further options be pursued. </w:t>
      </w:r>
      <w:r w:rsidR="003114A0">
        <w:t xml:space="preserve">However, this report has identified a gap in relation to voluntary reformulation of foods in the fast food/quick service sector and therefore consideration of potential voluntary sugar reformulation is warranted. </w:t>
      </w:r>
      <w:r w:rsidRPr="00110EB0">
        <w:t>There is also the need for greater promotion of the need to reduce consumption of foods and beverages containing added sugars to complement the cur</w:t>
      </w:r>
      <w:r w:rsidR="00222C5C" w:rsidRPr="00110EB0">
        <w:t>rent reformulation activities. However, this conclusion does not necessarily apply to consideration of the sugar content of foods and beverages promoted to infants and young children, which is being considered through a separate process.</w:t>
      </w:r>
    </w:p>
    <w:p w14:paraId="619835AB" w14:textId="1B90BD4B" w:rsidR="003B5E2D" w:rsidRPr="003B5E2D" w:rsidRDefault="002C50DE" w:rsidP="003B5E2D">
      <w:pPr>
        <w:pStyle w:val="Heading3"/>
      </w:pPr>
      <w:bookmarkStart w:id="75" w:name="_Toc49506070"/>
      <w:bookmarkStart w:id="76" w:name="_Toc49506918"/>
      <w:bookmarkStart w:id="77" w:name="_Toc54273231"/>
      <w:r w:rsidRPr="003B5E2D">
        <w:rPr>
          <w:rStyle w:val="Heading4Char"/>
          <w:i w:val="0"/>
          <w:iCs w:val="0"/>
          <w:color w:val="1F4D78" w:themeColor="accent1" w:themeShade="7F"/>
        </w:rPr>
        <w:lastRenderedPageBreak/>
        <w:t>Sodium</w:t>
      </w:r>
      <w:r w:rsidR="00371710" w:rsidRPr="003B5E2D">
        <w:rPr>
          <w:rStyle w:val="Heading4Char"/>
          <w:i w:val="0"/>
          <w:iCs w:val="0"/>
          <w:color w:val="1F4D78" w:themeColor="accent1" w:themeShade="7F"/>
        </w:rPr>
        <w:t>/salt</w:t>
      </w:r>
      <w:bookmarkEnd w:id="75"/>
      <w:bookmarkEnd w:id="76"/>
      <w:bookmarkEnd w:id="77"/>
    </w:p>
    <w:p w14:paraId="6EBB10CB" w14:textId="79C04EB4" w:rsidR="00371710" w:rsidRPr="00A95A4E" w:rsidRDefault="00371710" w:rsidP="00371710">
      <w:r>
        <w:t xml:space="preserve">Reducing salt intakes through food reformulation is also one of the ‘best buys’ for </w:t>
      </w:r>
      <w:r w:rsidR="48B8F2A8">
        <w:t xml:space="preserve">the </w:t>
      </w:r>
      <w:r>
        <w:t>prevention of non-communicable diseases recommended by the WHO</w:t>
      </w:r>
      <w:r w:rsidRPr="00B224AB">
        <w:rPr>
          <w:rStyle w:val="FootnoteReference"/>
        </w:rPr>
        <w:footnoteReference w:id="155"/>
      </w:r>
      <w:r w:rsidRPr="00B224AB">
        <w:t>.</w:t>
      </w:r>
      <w:r>
        <w:t xml:space="preserve"> Under the WHO</w:t>
      </w:r>
      <w:r w:rsidRPr="3427A3ED">
        <w:rPr>
          <w:i/>
          <w:iCs/>
        </w:rPr>
        <w:t xml:space="preserve"> Global Action Plan for the Prevention and Control of Non-Communicable diseases 2013-2020</w:t>
      </w:r>
      <w:r w:rsidRPr="3427A3ED">
        <w:rPr>
          <w:rStyle w:val="FootnoteReference"/>
          <w:i/>
          <w:iCs/>
        </w:rPr>
        <w:footnoteReference w:id="156"/>
      </w:r>
      <w:r w:rsidRPr="0079424A">
        <w:t xml:space="preserve"> member states endorsed a voluntary global target for a 30% relative reduction in mean population intake of salt/sodium.</w:t>
      </w:r>
    </w:p>
    <w:p w14:paraId="497E4C36" w14:textId="0E0088C1" w:rsidR="00371710" w:rsidRDefault="001B3F5F" w:rsidP="002C50DE">
      <w:r>
        <w:t xml:space="preserve">Limiting </w:t>
      </w:r>
      <w:r w:rsidR="00611D9D">
        <w:t>salt/</w:t>
      </w:r>
      <w:r>
        <w:t xml:space="preserve">sodium intakes is recommended due to the well-recognised association between </w:t>
      </w:r>
      <w:r w:rsidR="32AEDAAF">
        <w:t xml:space="preserve">increased </w:t>
      </w:r>
      <w:r>
        <w:t>sodium intakes and elevated blood pressure. A diet high in sodium is the leading dietary risk factor for death and disease burden globally</w:t>
      </w:r>
      <w:r w:rsidR="00F61BAE">
        <w:rPr>
          <w:rStyle w:val="FootnoteReference"/>
        </w:rPr>
        <w:footnoteReference w:id="157"/>
      </w:r>
      <w:r w:rsidR="00F61BAE">
        <w:t xml:space="preserve">. </w:t>
      </w:r>
      <w:r w:rsidR="00371710">
        <w:t xml:space="preserve">In Australia, a diet high in sodium </w:t>
      </w:r>
      <w:r w:rsidR="00611D9D">
        <w:t xml:space="preserve">was the sixth leading dietary risk factor for burden of disease, accounting for </w:t>
      </w:r>
      <w:r w:rsidR="00EF36F3">
        <w:t>0.7</w:t>
      </w:r>
      <w:r w:rsidR="001A7E53">
        <w:t xml:space="preserve">% </w:t>
      </w:r>
      <w:r w:rsidR="00371710">
        <w:t xml:space="preserve">of the total disease burden </w:t>
      </w:r>
      <w:r w:rsidR="00184736">
        <w:t>and 1.6</w:t>
      </w:r>
      <w:r w:rsidR="001A7E53">
        <w:t xml:space="preserve">% of total deaths </w:t>
      </w:r>
      <w:r w:rsidR="00371710">
        <w:t xml:space="preserve">in 2017. </w:t>
      </w:r>
      <w:r w:rsidR="001A7E53">
        <w:t xml:space="preserve">This was higher for New Zealand with </w:t>
      </w:r>
      <w:r w:rsidR="00A52D8B">
        <w:t>a</w:t>
      </w:r>
      <w:r w:rsidR="001A7E53">
        <w:t xml:space="preserve"> </w:t>
      </w:r>
      <w:r w:rsidR="00611D9D">
        <w:t xml:space="preserve">diet high in sodium the third leading risk factor for burden of disease, accounting for </w:t>
      </w:r>
      <w:r w:rsidR="00EF36F3">
        <w:t>1.5% of disease burden and 3.5</w:t>
      </w:r>
      <w:r w:rsidR="001A7E53">
        <w:t>% of deaths in the same year</w:t>
      </w:r>
      <w:r w:rsidR="001A7E53">
        <w:rPr>
          <w:rStyle w:val="FootnoteReference"/>
        </w:rPr>
        <w:footnoteReference w:id="158"/>
      </w:r>
      <w:r w:rsidR="001A7E53">
        <w:t xml:space="preserve">. </w:t>
      </w:r>
    </w:p>
    <w:p w14:paraId="2AE9CF6D" w14:textId="717DEFB0" w:rsidR="00611D9D" w:rsidRDefault="008D797C" w:rsidP="002C50DE">
      <w:r>
        <w:t xml:space="preserve">Sodium is predominantly found in </w:t>
      </w:r>
      <w:proofErr w:type="gramStart"/>
      <w:r>
        <w:t>salt,</w:t>
      </w:r>
      <w:proofErr w:type="gramEnd"/>
      <w:r>
        <w:t xml:space="preserve"> however, certain food additives also contain sodium and it can occur naturally in foods. </w:t>
      </w:r>
    </w:p>
    <w:p w14:paraId="465DE7F9" w14:textId="3B2C26D5" w:rsidR="002C50DE" w:rsidRDefault="002C50DE" w:rsidP="002C50DE">
      <w:r>
        <w:t>In Australia</w:t>
      </w:r>
      <w:r w:rsidRPr="00C87344">
        <w:t xml:space="preserve"> in</w:t>
      </w:r>
      <w:r w:rsidRPr="00936C40">
        <w:t xml:space="preserve"> 2011-12, the average daily amount of sodium consumed from food</w:t>
      </w:r>
      <w:r w:rsidR="008D797C">
        <w:t xml:space="preserve"> (</w:t>
      </w:r>
      <w:proofErr w:type="gramStart"/>
      <w:r w:rsidR="008D797C">
        <w:t>i.e.</w:t>
      </w:r>
      <w:proofErr w:type="gramEnd"/>
      <w:r w:rsidR="008D797C">
        <w:t xml:space="preserve"> excluding salt added by the consumer)</w:t>
      </w:r>
      <w:r w:rsidRPr="00936C40">
        <w:t xml:space="preserve"> for </w:t>
      </w:r>
      <w:r>
        <w:t>Australians aged 19 years</w:t>
      </w:r>
      <w:r w:rsidRPr="00936C40">
        <w:t xml:space="preserve"> and over was 2,4</w:t>
      </w:r>
      <w:r>
        <w:t>30</w:t>
      </w:r>
      <w:r w:rsidRPr="00936C40">
        <w:t xml:space="preserve"> mg (equivalent to around one teaspoon of table salt)</w:t>
      </w:r>
      <w:r>
        <w:rPr>
          <w:rStyle w:val="FootnoteReference"/>
        </w:rPr>
        <w:footnoteReference w:id="159"/>
      </w:r>
      <w:r>
        <w:t>. This exceeds t</w:t>
      </w:r>
      <w:r w:rsidRPr="007C4ADF">
        <w:t xml:space="preserve">he </w:t>
      </w:r>
      <w:r>
        <w:t xml:space="preserve">2017 </w:t>
      </w:r>
      <w:r w:rsidR="00611D9D">
        <w:t xml:space="preserve">NHMRC </w:t>
      </w:r>
      <w:r>
        <w:t>Suggested Dietary T</w:t>
      </w:r>
      <w:r w:rsidRPr="007C4ADF">
        <w:t xml:space="preserve">arget (SDT) </w:t>
      </w:r>
      <w:r>
        <w:t>of 2,000</w:t>
      </w:r>
      <w:r w:rsidR="00286D2E">
        <w:t xml:space="preserve"> </w:t>
      </w:r>
      <w:r>
        <w:t>mg</w:t>
      </w:r>
      <w:r w:rsidRPr="007C4ADF">
        <w:t xml:space="preserve"> </w:t>
      </w:r>
      <w:r>
        <w:t xml:space="preserve">and is </w:t>
      </w:r>
      <w:r w:rsidRPr="00B72D17">
        <w:t>likely to be an underestimate</w:t>
      </w:r>
      <w:r>
        <w:t xml:space="preserve"> given that </w:t>
      </w:r>
      <w:r w:rsidRPr="00B72D17">
        <w:t xml:space="preserve">64% </w:t>
      </w:r>
      <w:r>
        <w:t xml:space="preserve">of Australians reported </w:t>
      </w:r>
      <w:r w:rsidRPr="00B72D17">
        <w:t>they add salt very often or occasionally either during m</w:t>
      </w:r>
      <w:r>
        <w:t>eal preparation or at the table</w:t>
      </w:r>
      <w:r>
        <w:rPr>
          <w:rStyle w:val="FootnoteReference"/>
        </w:rPr>
        <w:footnoteReference w:id="160"/>
      </w:r>
      <w:r>
        <w:t xml:space="preserve">. </w:t>
      </w:r>
      <w:r w:rsidR="00611D9D">
        <w:t>In Australia, o</w:t>
      </w:r>
      <w:r w:rsidRPr="00B72D17">
        <w:t>ne-quarter (2</w:t>
      </w:r>
      <w:r>
        <w:t>4</w:t>
      </w:r>
      <w:r w:rsidRPr="00B72D17">
        <w:t xml:space="preserve">%) of sodium came from </w:t>
      </w:r>
      <w:r>
        <w:t>c</w:t>
      </w:r>
      <w:r w:rsidRPr="00B72D17">
        <w:t>ereal-based products and dishes (mainly from the mixed dishes where cereal is</w:t>
      </w:r>
      <w:r>
        <w:t xml:space="preserve"> the major ingredient), 19</w:t>
      </w:r>
      <w:r w:rsidRPr="00B72D17">
        <w:t xml:space="preserve">% came from </w:t>
      </w:r>
      <w:r>
        <w:t>c</w:t>
      </w:r>
      <w:r w:rsidRPr="00B72D17">
        <w:t>ereal and cereal products (m</w:t>
      </w:r>
      <w:r w:rsidR="00A447A9">
        <w:t>ainly bread, 13%)</w:t>
      </w:r>
      <w:r>
        <w:t xml:space="preserve"> and 19% from m</w:t>
      </w:r>
      <w:r w:rsidRPr="00B72D17">
        <w:t>eat and poultry (mainly processed meat and mixed dishes)</w:t>
      </w:r>
      <w:r>
        <w:rPr>
          <w:rStyle w:val="FootnoteReference"/>
        </w:rPr>
        <w:footnoteReference w:id="161"/>
      </w:r>
      <w:r>
        <w:t xml:space="preserve">. </w:t>
      </w:r>
    </w:p>
    <w:p w14:paraId="1B99099C" w14:textId="6F98B7DB" w:rsidR="002C50DE" w:rsidRDefault="002C50DE" w:rsidP="002C50DE">
      <w:r>
        <w:lastRenderedPageBreak/>
        <w:t>In New Zealand in 2008</w:t>
      </w:r>
      <w:r w:rsidR="00983CE7">
        <w:t>-</w:t>
      </w:r>
      <w:r>
        <w:t>09 the estimated mean usual daily sodium intake</w:t>
      </w:r>
      <w:r w:rsidR="4AAC0861">
        <w:t xml:space="preserve"> from 24-hour recall data</w:t>
      </w:r>
      <w:r>
        <w:t xml:space="preserve"> (excluding salt added at the table) for adults aged 15 years and above was 2</w:t>
      </w:r>
      <w:r w:rsidR="24AFCEE5">
        <w:t>,</w:t>
      </w:r>
      <w:r>
        <w:t>564 mg</w:t>
      </w:r>
      <w:r>
        <w:rPr>
          <w:rStyle w:val="FootnoteReference"/>
        </w:rPr>
        <w:footnoteReference w:id="162"/>
      </w:r>
      <w:r>
        <w:t>. This also exceed the 2</w:t>
      </w:r>
      <w:r w:rsidR="004B3253">
        <w:t>017 SDT for sodium of 2</w:t>
      </w:r>
      <w:r w:rsidR="583537C0">
        <w:t>,</w:t>
      </w:r>
      <w:r w:rsidR="004B3253">
        <w:t xml:space="preserve">000 mg. </w:t>
      </w:r>
      <w:r>
        <w:t>The leading sources of sodium in the New Zealand diet identified in the 1997 National Nutrition Survey, were bread (25.7%), processed meats (10.3%), sauces (6.7%), potatoes and kumara (6.7%) breakfast cereals (5.8%)</w:t>
      </w:r>
      <w:r>
        <w:rPr>
          <w:rStyle w:val="FootnoteReference"/>
        </w:rPr>
        <w:footnoteReference w:id="163"/>
      </w:r>
      <w:r>
        <w:t>.</w:t>
      </w:r>
      <w:r w:rsidR="004B3253" w:rsidRPr="004B3253">
        <w:t xml:space="preserve"> </w:t>
      </w:r>
      <w:r w:rsidR="004B3253">
        <w:t>Sodium intakes in New Zealand may have decreased since this time with analysis comparing the changes in sodium content of New Zealand processed foods from 2000-2013 reporting modest progress with sodium reduction in some food categories</w:t>
      </w:r>
      <w:r w:rsidR="004B3253">
        <w:rPr>
          <w:rStyle w:val="FootnoteReference"/>
        </w:rPr>
        <w:footnoteReference w:id="164"/>
      </w:r>
      <w:r w:rsidR="004B3253">
        <w:t xml:space="preserve">. Across nine key food groups the mean sodium content of all foods was 436 mg per 100g in 2003 and 433 mg per 100 g, with no significant difference in matched products over time. </w:t>
      </w:r>
      <w:r w:rsidR="00554081">
        <w:t xml:space="preserve">In seven of the nine food groups assessed reductions in mean sodium content were evident, although small sample sizes prevented significance testing. </w:t>
      </w:r>
      <w:r w:rsidR="004B3253">
        <w:t>The largest reductions in sodium (for matched products) were observed for breakfast cereals (28%), canned spaghetti (15%) and bread 14%).</w:t>
      </w:r>
    </w:p>
    <w:p w14:paraId="115AE587" w14:textId="77777777" w:rsidR="001344A1" w:rsidRDefault="0077522A" w:rsidP="00A447A9">
      <w:r>
        <w:t xml:space="preserve">In </w:t>
      </w:r>
      <w:r w:rsidR="006036E7">
        <w:t xml:space="preserve">2016 </w:t>
      </w:r>
      <w:r>
        <w:t xml:space="preserve">researchers estimated </w:t>
      </w:r>
      <w:r w:rsidR="00DB2C33">
        <w:t>reductions in the sodium content of packaged foods and other dietary sources</w:t>
      </w:r>
      <w:r w:rsidR="006036E7">
        <w:t xml:space="preserve"> </w:t>
      </w:r>
      <w:r w:rsidR="00DB2C33">
        <w:t xml:space="preserve">required to meet the </w:t>
      </w:r>
      <w:r w:rsidR="00D73459">
        <w:t xml:space="preserve">WHO sodium target </w:t>
      </w:r>
      <w:r w:rsidR="00DB2C33">
        <w:t>of reducing mean population intake of salt by 30% by 2025</w:t>
      </w:r>
      <w:r w:rsidR="00C10EFA">
        <w:t xml:space="preserve"> in New Zealand</w:t>
      </w:r>
      <w:r w:rsidR="00C10EFA">
        <w:rPr>
          <w:rStyle w:val="FootnoteReference"/>
        </w:rPr>
        <w:footnoteReference w:id="165"/>
      </w:r>
      <w:r w:rsidR="00DB2C33">
        <w:t xml:space="preserve">. </w:t>
      </w:r>
      <w:r>
        <w:t>By linking household purchasing data with branded food product data</w:t>
      </w:r>
      <w:r w:rsidR="00C10EFA">
        <w:t>,</w:t>
      </w:r>
      <w:r>
        <w:t xml:space="preserve"> </w:t>
      </w:r>
      <w:r w:rsidR="00D73459">
        <w:t xml:space="preserve">researchers estimated that a 36% reduction in the sodium content of packaged foods in conjunction with a 40% reduction in discretionary salt </w:t>
      </w:r>
      <w:r w:rsidR="00BC008B">
        <w:t xml:space="preserve">use </w:t>
      </w:r>
      <w:r w:rsidR="00D73459">
        <w:t>and reductions in the sodium content of foods consumed outside the home would reduce New Zealand’s salt intake by 35%</w:t>
      </w:r>
      <w:r w:rsidR="00C10EFA">
        <w:t>. K</w:t>
      </w:r>
      <w:r w:rsidR="00866194">
        <w:t xml:space="preserve">ey food categories identified for sodium reformulation included canned vegetables, bread, sauces, butter, margarine, bacon and hard cheese. </w:t>
      </w:r>
    </w:p>
    <w:p w14:paraId="61C6ADE3" w14:textId="77777777" w:rsidR="003B5E2D" w:rsidRDefault="003B5E2D" w:rsidP="003B5E2D">
      <w:pPr>
        <w:pStyle w:val="Heading4"/>
        <w:rPr>
          <w:rStyle w:val="Heading5Char"/>
        </w:rPr>
      </w:pPr>
      <w:r>
        <w:rPr>
          <w:rStyle w:val="Heading5Char"/>
        </w:rPr>
        <w:t>Assessment</w:t>
      </w:r>
    </w:p>
    <w:p w14:paraId="255B10B9" w14:textId="20571747" w:rsidR="00A447A9" w:rsidRDefault="00A447A9" w:rsidP="00A447A9">
      <w:r>
        <w:t>Some countries have applied mandatory compositional limit for salt/sodium in foods. However, e</w:t>
      </w:r>
      <w:r w:rsidRPr="007C0DCE">
        <w:t xml:space="preserve">vidence </w:t>
      </w:r>
      <w:r w:rsidRPr="00110EB0">
        <w:t xml:space="preserve">suggests that a </w:t>
      </w:r>
      <w:r w:rsidR="00EA2013" w:rsidRPr="00110EB0">
        <w:t>well-designed</w:t>
      </w:r>
      <w:r w:rsidRPr="00110EB0">
        <w:t xml:space="preserve"> voluntary sodium reformulation program can </w:t>
      </w:r>
      <w:r w:rsidR="00AC3A16" w:rsidRPr="00110EB0">
        <w:t xml:space="preserve">also </w:t>
      </w:r>
      <w:r w:rsidRPr="00110EB0">
        <w:t>be effective in reducing the sodium content of the food supply</w:t>
      </w:r>
      <w:r w:rsidRPr="00110EB0">
        <w:rPr>
          <w:rStyle w:val="FootnoteReference"/>
        </w:rPr>
        <w:footnoteReference w:id="166"/>
      </w:r>
      <w:r w:rsidRPr="00110EB0">
        <w:rPr>
          <w:vertAlign w:val="superscript"/>
        </w:rPr>
        <w:t>,</w:t>
      </w:r>
      <w:r w:rsidRPr="00110EB0">
        <w:rPr>
          <w:rStyle w:val="FootnoteReference"/>
        </w:rPr>
        <w:footnoteReference w:id="167"/>
      </w:r>
      <w:r w:rsidRPr="00110EB0">
        <w:rPr>
          <w:vertAlign w:val="superscript"/>
        </w:rPr>
        <w:t xml:space="preserve"> </w:t>
      </w:r>
      <w:r w:rsidRPr="00110EB0">
        <w:rPr>
          <w:rStyle w:val="FootnoteReference"/>
        </w:rPr>
        <w:footnoteReference w:id="168"/>
      </w:r>
      <w:r w:rsidRPr="00110EB0">
        <w:t xml:space="preserve">. </w:t>
      </w:r>
      <w:r w:rsidR="00C47F7E" w:rsidRPr="00110EB0">
        <w:t xml:space="preserve">Key design </w:t>
      </w:r>
      <w:r w:rsidR="00FF5ED4" w:rsidRPr="00110EB0">
        <w:t xml:space="preserve">elements of effective reformulation programs </w:t>
      </w:r>
      <w:r w:rsidR="00C47F7E" w:rsidRPr="00110EB0">
        <w:t xml:space="preserve">included gradual reductions in targets to allow taste preferences to adapt, </w:t>
      </w:r>
      <w:r w:rsidR="00FF5ED4" w:rsidRPr="00110EB0">
        <w:t xml:space="preserve">strong Government leadership and robust monitoring and reporting </w:t>
      </w:r>
      <w:r w:rsidR="00FF5ED4" w:rsidRPr="00110EB0">
        <w:lastRenderedPageBreak/>
        <w:t xml:space="preserve">mechanisms. </w:t>
      </w:r>
      <w:r w:rsidRPr="00110EB0">
        <w:t>Complementary actions such as public awareness campaigns and food labelling are also important in supporting the success of voluntary reformulation</w:t>
      </w:r>
      <w:r>
        <w:t xml:space="preserve"> actions</w:t>
      </w:r>
      <w:r>
        <w:rPr>
          <w:rStyle w:val="FootnoteReference"/>
        </w:rPr>
        <w:footnoteReference w:id="169"/>
      </w:r>
      <w:r>
        <w:t xml:space="preserve">. </w:t>
      </w:r>
    </w:p>
    <w:p w14:paraId="72A7AF88" w14:textId="2BC1C5B5" w:rsidR="008D797C" w:rsidRPr="005E20AD" w:rsidRDefault="008D797C" w:rsidP="4F93ADCF">
      <w:r>
        <w:t xml:space="preserve">In Australia, </w:t>
      </w:r>
      <w:r w:rsidR="00AC3A16">
        <w:t xml:space="preserve">Wave 1 </w:t>
      </w:r>
      <w:r>
        <w:t>v</w:t>
      </w:r>
      <w:r w:rsidR="004B3253">
        <w:t xml:space="preserve">oluntary reformulation </w:t>
      </w:r>
      <w:r w:rsidR="00A83D57">
        <w:t>targets for sodium have been agreed for</w:t>
      </w:r>
      <w:r w:rsidR="004B3253">
        <w:t xml:space="preserve"> key foods which </w:t>
      </w:r>
      <w:r>
        <w:t xml:space="preserve">are major </w:t>
      </w:r>
      <w:r w:rsidR="004B3253">
        <w:t>contribut</w:t>
      </w:r>
      <w:r w:rsidR="3EFC4B91">
        <w:t>or</w:t>
      </w:r>
      <w:r>
        <w:t>s</w:t>
      </w:r>
      <w:r w:rsidR="004B3253">
        <w:t xml:space="preserve"> to population sodium intakes such as bread, </w:t>
      </w:r>
      <w:r w:rsidR="69781D36">
        <w:t>processed meat,</w:t>
      </w:r>
      <w:r w:rsidR="79A3DE5E">
        <w:t xml:space="preserve"> sausages,</w:t>
      </w:r>
      <w:r w:rsidR="69781D36">
        <w:t xml:space="preserve"> crumbed and battered meat poultry and seafood</w:t>
      </w:r>
      <w:r w:rsidR="5D05780D">
        <w:t>,</w:t>
      </w:r>
      <w:r w:rsidR="69781D36">
        <w:t xml:space="preserve"> </w:t>
      </w:r>
      <w:r w:rsidR="3848BB5C">
        <w:t xml:space="preserve">pizza, </w:t>
      </w:r>
      <w:r w:rsidR="004B3253">
        <w:t xml:space="preserve">gravies and sauces, </w:t>
      </w:r>
      <w:r w:rsidR="4EC16A65">
        <w:t xml:space="preserve">savoury biscuits, snacks and pastries, soups, </w:t>
      </w:r>
      <w:r w:rsidR="05E74D7D">
        <w:t xml:space="preserve">sweet bakery products </w:t>
      </w:r>
      <w:r w:rsidR="00A83D57">
        <w:t xml:space="preserve">and </w:t>
      </w:r>
      <w:r w:rsidR="004B3253">
        <w:t xml:space="preserve">cheese. </w:t>
      </w:r>
      <w:r w:rsidR="00A83D57">
        <w:t>Work towards setting a sodium target for breakfast cereals</w:t>
      </w:r>
      <w:r w:rsidR="7FC93B1A">
        <w:t>, powdered meal bases, ready meals and particular savoury snacks</w:t>
      </w:r>
      <w:r w:rsidR="00A83D57">
        <w:t xml:space="preserve"> is still underway. </w:t>
      </w:r>
      <w:r w:rsidR="1472A573" w:rsidRPr="005E20AD">
        <w:t xml:space="preserve">Voluntary reformulation led by the New Zealand Heart Foundation </w:t>
      </w:r>
      <w:r w:rsidR="54C41FDF" w:rsidRPr="005E20AD">
        <w:t>has removed</w:t>
      </w:r>
      <w:r w:rsidR="1472A573" w:rsidRPr="005E20AD">
        <w:t xml:space="preserve"> ove</w:t>
      </w:r>
      <w:r w:rsidR="71C5EDFA" w:rsidRPr="005E20AD">
        <w:t>r 3</w:t>
      </w:r>
      <w:r w:rsidR="000E3BBA" w:rsidRPr="005E20AD">
        <w:t>3</w:t>
      </w:r>
      <w:r w:rsidR="71C5EDFA" w:rsidRPr="005E20AD">
        <w:t xml:space="preserve">0 tonnes of salt </w:t>
      </w:r>
      <w:r w:rsidR="004438F9" w:rsidRPr="005E20AD">
        <w:t>per annum</w:t>
      </w:r>
      <w:r w:rsidR="71C5EDFA" w:rsidRPr="005E20AD">
        <w:t xml:space="preserve"> from</w:t>
      </w:r>
      <w:r w:rsidR="78D8FFA1" w:rsidRPr="005E20AD">
        <w:t xml:space="preserve"> the food supply in</w:t>
      </w:r>
      <w:r w:rsidR="71C5EDFA" w:rsidRPr="005E20AD">
        <w:t xml:space="preserve"> key categories. </w:t>
      </w:r>
      <w:r w:rsidR="00970D0F" w:rsidRPr="005E20AD">
        <w:t xml:space="preserve">However, it is not known what impact this has had on sodium intakes. </w:t>
      </w:r>
    </w:p>
    <w:p w14:paraId="6C63C40D" w14:textId="2DBE1E27" w:rsidR="005D052D" w:rsidRDefault="00AC3A16" w:rsidP="00C83763">
      <w:r w:rsidRPr="005E20AD">
        <w:t>T</w:t>
      </w:r>
      <w:r w:rsidR="00DB2B04" w:rsidRPr="005E20AD">
        <w:t>he Healthy Fo</w:t>
      </w:r>
      <w:r w:rsidRPr="005E20AD">
        <w:t xml:space="preserve">od Partnership </w:t>
      </w:r>
      <w:r w:rsidR="00A94B22" w:rsidRPr="005E20AD">
        <w:t xml:space="preserve">and </w:t>
      </w:r>
      <w:r w:rsidR="00D41C76" w:rsidRPr="005E20AD">
        <w:t xml:space="preserve">the </w:t>
      </w:r>
      <w:r w:rsidR="00A94B22" w:rsidRPr="005E20AD">
        <w:t>New Zealand Heart Foundation</w:t>
      </w:r>
      <w:r>
        <w:t xml:space="preserve"> </w:t>
      </w:r>
      <w:r w:rsidR="00A94B22">
        <w:t>are</w:t>
      </w:r>
      <w:r w:rsidR="002B7704">
        <w:t xml:space="preserve"> </w:t>
      </w:r>
      <w:r>
        <w:t>currently</w:t>
      </w:r>
      <w:r w:rsidR="00DB2B04">
        <w:t xml:space="preserve"> not </w:t>
      </w:r>
      <w:r>
        <w:t xml:space="preserve">considering reformulation in the </w:t>
      </w:r>
      <w:r w:rsidR="00EA2013">
        <w:t>fast-</w:t>
      </w:r>
      <w:r>
        <w:t>food/</w:t>
      </w:r>
      <w:r w:rsidR="00DB2B04">
        <w:t xml:space="preserve">quick-service </w:t>
      </w:r>
      <w:r>
        <w:t>restaurant sector</w:t>
      </w:r>
      <w:r w:rsidR="00DB2B04">
        <w:t xml:space="preserve">. </w:t>
      </w:r>
      <w:r w:rsidR="005D052D">
        <w:t>However, international reformulation work such as that in the United Kingdom, France and United States has considered this sector.</w:t>
      </w:r>
    </w:p>
    <w:p w14:paraId="6C4C9341" w14:textId="74B4D989" w:rsidR="00226CF7" w:rsidRDefault="00A447A9" w:rsidP="00C83763">
      <w:r>
        <w:t xml:space="preserve">Many products sold through </w:t>
      </w:r>
      <w:r w:rsidR="00EA2013">
        <w:t>fast-food/quick-</w:t>
      </w:r>
      <w:r>
        <w:t>service outlets are ‘cereal-based mixed dishes’ (such as burgers and pizzas) which are the main source of sodium in Australians’ diets. Othe</w:t>
      </w:r>
      <w:r w:rsidR="00EA2013">
        <w:t>r foods sold at fast-food/quick-</w:t>
      </w:r>
      <w:r>
        <w:t xml:space="preserve">service outlets are processed meat products </w:t>
      </w:r>
      <w:proofErr w:type="gramStart"/>
      <w:r>
        <w:t>(.e.g.</w:t>
      </w:r>
      <w:proofErr w:type="gramEnd"/>
      <w:r>
        <w:t xml:space="preserve"> chicken nuggets) which are also a major source of sodium for Australians. </w:t>
      </w:r>
    </w:p>
    <w:p w14:paraId="79795A9C" w14:textId="590A5793" w:rsidR="00DB2B04" w:rsidRDefault="00EA2013" w:rsidP="4F93ADCF">
      <w:r>
        <w:t>Some fast-food/quick-</w:t>
      </w:r>
      <w:r w:rsidR="00DB2B04">
        <w:t xml:space="preserve">service companies </w:t>
      </w:r>
      <w:r w:rsidR="00B620BE">
        <w:t xml:space="preserve">have </w:t>
      </w:r>
      <w:r w:rsidR="00DB2B04">
        <w:t>take</w:t>
      </w:r>
      <w:r w:rsidR="00B620BE">
        <w:t>n</w:t>
      </w:r>
      <w:r w:rsidR="00DB2B04">
        <w:t xml:space="preserve"> voluntary action to reformulate their products such as reducing sodium, fat and sugar content of products, removing industrially produced trans fats</w:t>
      </w:r>
      <w:r w:rsidR="3C99F81E">
        <w:t>,</w:t>
      </w:r>
      <w:r w:rsidR="00DB2B04">
        <w:t xml:space="preserve"> or reducing overall energy content. However</w:t>
      </w:r>
      <w:r w:rsidR="2AAAD8F4">
        <w:t>,</w:t>
      </w:r>
      <w:r w:rsidR="00DB2B04">
        <w:t xml:space="preserve"> these actions are </w:t>
      </w:r>
      <w:r>
        <w:t>not occurring across the sector. A</w:t>
      </w:r>
      <w:r w:rsidR="005D052D">
        <w:t>s previously reported</w:t>
      </w:r>
      <w:r>
        <w:t xml:space="preserve"> in this paper,</w:t>
      </w:r>
      <w:r w:rsidR="005D052D">
        <w:t xml:space="preserve"> </w:t>
      </w:r>
      <w:r w:rsidR="00DB2B04">
        <w:t xml:space="preserve">a 2018 survey of nutrition policies and actions </w:t>
      </w:r>
      <w:r>
        <w:t>amongst</w:t>
      </w:r>
      <w:r w:rsidR="00DB2B04">
        <w:t xml:space="preserve"> </w:t>
      </w:r>
      <w:r>
        <w:t xml:space="preserve">Australian </w:t>
      </w:r>
      <w:r w:rsidR="00DB2B04">
        <w:t>fast food</w:t>
      </w:r>
      <w:r>
        <w:t>/quick-service</w:t>
      </w:r>
      <w:r w:rsidR="00DB2B04">
        <w:t xml:space="preserve"> </w:t>
      </w:r>
      <w:r w:rsidR="004438F9">
        <w:t xml:space="preserve">companies reported that out of eleven </w:t>
      </w:r>
      <w:r w:rsidR="00326F95">
        <w:t>companies, five</w:t>
      </w:r>
      <w:r w:rsidR="00DB2B04">
        <w:t xml:space="preserve"> had taken action to reduce sodium content, </w:t>
      </w:r>
      <w:r w:rsidR="004438F9">
        <w:t>five</w:t>
      </w:r>
      <w:r w:rsidR="00DB2B04">
        <w:t xml:space="preserve"> had taken action to reduce fat and sugar and </w:t>
      </w:r>
      <w:r w:rsidR="00326F95">
        <w:t>three</w:t>
      </w:r>
      <w:r w:rsidR="00DB2B04">
        <w:t xml:space="preserve"> to reduce trans fats. The same surve</w:t>
      </w:r>
      <w:r w:rsidR="004438F9">
        <w:t>y in New Zealand reported that three</w:t>
      </w:r>
      <w:r w:rsidR="00DB2B04">
        <w:t xml:space="preserve"> out of the </w:t>
      </w:r>
      <w:r w:rsidR="004438F9">
        <w:t>six</w:t>
      </w:r>
      <w:r w:rsidR="00DB2B04">
        <w:t xml:space="preserve"> quick service restaurants surveyed had </w:t>
      </w:r>
      <w:r w:rsidR="6FCCFC0A">
        <w:t>some</w:t>
      </w:r>
      <w:r w:rsidR="00DB2B04">
        <w:t xml:space="preserve"> form of commitment on product reformulation. </w:t>
      </w:r>
    </w:p>
    <w:p w14:paraId="3F9619B1" w14:textId="592507FD" w:rsidR="00DB2B04" w:rsidRDefault="00DB2B04" w:rsidP="00DB2B04">
      <w:r>
        <w:t>A 2019</w:t>
      </w:r>
      <w:r>
        <w:rPr>
          <w:rStyle w:val="FootnoteReference"/>
        </w:rPr>
        <w:footnoteReference w:id="170"/>
      </w:r>
      <w:r>
        <w:t xml:space="preserve"> study examined </w:t>
      </w:r>
      <w:r w:rsidR="00EA2013">
        <w:t xml:space="preserve">the salt content of </w:t>
      </w:r>
      <w:r>
        <w:t>children’s meals, meal components (</w:t>
      </w:r>
      <w:proofErr w:type="gramStart"/>
      <w:r>
        <w:t>e.g.</w:t>
      </w:r>
      <w:proofErr w:type="gramEnd"/>
      <w:r>
        <w:t xml:space="preserve"> burgers, wraps, </w:t>
      </w:r>
      <w:r w:rsidR="00623130">
        <w:t>and chicken</w:t>
      </w:r>
      <w:r>
        <w:t xml:space="preserve"> nuggets), snacks and sides (e.g. fries)</w:t>
      </w:r>
      <w:r w:rsidR="00EA2013">
        <w:t xml:space="preserve"> in selected Australian fast-food outlets</w:t>
      </w:r>
      <w:r>
        <w:t xml:space="preserve">. </w:t>
      </w:r>
      <w:r w:rsidR="00EA2013">
        <w:t>The study identified wide variability in the salt content of products, with some containing concerning levels of salt. For example, i</w:t>
      </w:r>
      <w:r>
        <w:t xml:space="preserve">n the children’s meals category, a Hungry Jack’s 6 </w:t>
      </w:r>
      <w:r w:rsidR="00EA2013">
        <w:t>nugget kids pack contained 3.78 </w:t>
      </w:r>
      <w:r>
        <w:t xml:space="preserve">g salt which was equivalent to 108% of the maximum daily recommend salt intake for a </w:t>
      </w:r>
      <w:proofErr w:type="gramStart"/>
      <w:r>
        <w:t>4-8 year old</w:t>
      </w:r>
      <w:proofErr w:type="gramEnd"/>
      <w:r>
        <w:t xml:space="preserve">. The salt content of this meal was more than twice that of the McDonalds equivalent. High salt and wide variation in salt content was also reported for the other categories examined. </w:t>
      </w:r>
    </w:p>
    <w:p w14:paraId="3668A9BD" w14:textId="01FAE85D" w:rsidR="00E66445" w:rsidRDefault="3A858142" w:rsidP="00DB2B04">
      <w:r>
        <w:t>A 2018 study</w:t>
      </w:r>
      <w:r w:rsidRPr="2CF3C489">
        <w:rPr>
          <w:rStyle w:val="FootnoteReference"/>
        </w:rPr>
        <w:footnoteReference w:id="171"/>
      </w:r>
      <w:r>
        <w:t xml:space="preserve"> </w:t>
      </w:r>
      <w:r w:rsidR="31AA46D6">
        <w:t>on</w:t>
      </w:r>
      <w:r>
        <w:t xml:space="preserve"> five-year trends in the </w:t>
      </w:r>
      <w:r w:rsidR="20AE0E15">
        <w:t xml:space="preserve">sodium content of New </w:t>
      </w:r>
      <w:r w:rsidR="20A11107">
        <w:t>Zealand's</w:t>
      </w:r>
      <w:r w:rsidR="005D08FC">
        <w:t xml:space="preserve"> </w:t>
      </w:r>
      <w:proofErr w:type="gramStart"/>
      <w:r w:rsidR="005D08FC">
        <w:t>fast-</w:t>
      </w:r>
      <w:r w:rsidR="20AE0E15">
        <w:t>foods</w:t>
      </w:r>
      <w:proofErr w:type="gramEnd"/>
      <w:r w:rsidR="20AE0E15">
        <w:t xml:space="preserve"> (2012 to 2016) </w:t>
      </w:r>
      <w:r w:rsidR="1D314591">
        <w:t xml:space="preserve">examined all products sold at </w:t>
      </w:r>
      <w:r w:rsidR="004438F9">
        <w:t>ten</w:t>
      </w:r>
      <w:r w:rsidR="1D314591">
        <w:t xml:space="preserve"> major fast food chains. </w:t>
      </w:r>
      <w:r w:rsidR="29968557">
        <w:t xml:space="preserve">This found that across all </w:t>
      </w:r>
      <w:r w:rsidR="29968557">
        <w:lastRenderedPageBreak/>
        <w:t>products (n=5468)</w:t>
      </w:r>
      <w:r w:rsidR="2A535D93">
        <w:t xml:space="preserve"> significant</w:t>
      </w:r>
      <w:r w:rsidR="29968557">
        <w:t xml:space="preserve"> increases were observed for sodium per serve (+55 (24</w:t>
      </w:r>
      <w:r w:rsidR="004B3CC8">
        <w:t xml:space="preserve"> to</w:t>
      </w:r>
      <w:r w:rsidR="29968557">
        <w:t xml:space="preserve"> 87) mg, +12%). </w:t>
      </w:r>
      <w:r w:rsidR="297BBEBB">
        <w:t>Overall, there was no significant change in sodium density</w:t>
      </w:r>
      <w:r w:rsidR="20A690BF">
        <w:t xml:space="preserve">, however </w:t>
      </w:r>
      <w:r w:rsidR="52722DFD">
        <w:t xml:space="preserve">evidence of </w:t>
      </w:r>
      <w:r w:rsidR="7273657F">
        <w:t>significant reductions in</w:t>
      </w:r>
      <w:r w:rsidR="52722DFD">
        <w:t xml:space="preserve"> sodium den</w:t>
      </w:r>
      <w:r w:rsidR="0781DA10">
        <w:t>sity for individual products</w:t>
      </w:r>
      <w:r w:rsidR="6205F597">
        <w:t xml:space="preserve"> </w:t>
      </w:r>
      <w:r w:rsidR="00EA2013">
        <w:t xml:space="preserve">was observed, </w:t>
      </w:r>
      <w:r w:rsidR="6205F597">
        <w:t>mainly</w:t>
      </w:r>
      <w:r w:rsidR="1131206A">
        <w:t xml:space="preserve"> driven by</w:t>
      </w:r>
      <w:r w:rsidR="6205F597">
        <w:t xml:space="preserve"> the burger's food group</w:t>
      </w:r>
      <w:r w:rsidR="4269F087">
        <w:t xml:space="preserve"> and by Burger Kin</w:t>
      </w:r>
      <w:r w:rsidR="2994F659">
        <w:t>g</w:t>
      </w:r>
      <w:r w:rsidR="4269F087">
        <w:t xml:space="preserve"> and Hell</w:t>
      </w:r>
      <w:r w:rsidR="6CA6A895">
        <w:t xml:space="preserve"> Pizza</w:t>
      </w:r>
      <w:r w:rsidR="6B1EA0D3">
        <w:t xml:space="preserve"> fast food chains</w:t>
      </w:r>
      <w:r w:rsidR="6205F597">
        <w:t xml:space="preserve">. </w:t>
      </w:r>
      <w:r w:rsidR="736A1233">
        <w:t>Th</w:t>
      </w:r>
      <w:r w:rsidR="005D08FC">
        <w:t>e</w:t>
      </w:r>
      <w:r w:rsidR="736A1233">
        <w:t xml:space="preserve"> researchers concluded that the lower sodium concentration in new and reformulated products ha</w:t>
      </w:r>
      <w:r w:rsidR="42EEC9B9">
        <w:t>d</w:t>
      </w:r>
      <w:r w:rsidR="736A1233">
        <w:t xml:space="preserve"> been offset by overall increases in serve size. </w:t>
      </w:r>
    </w:p>
    <w:p w14:paraId="7C64816D" w14:textId="2683B3EF" w:rsidR="00DB2B04" w:rsidRDefault="00DB2B04" w:rsidP="00DB2B04">
      <w:r>
        <w:t>A 2010 analysis of s</w:t>
      </w:r>
      <w:r w:rsidR="005D08FC">
        <w:t>alt levels in fast-</w:t>
      </w:r>
      <w:r>
        <w:t xml:space="preserve">food items in six countries reported variation in the </w:t>
      </w:r>
      <w:r w:rsidR="005D08FC">
        <w:t>salt</w:t>
      </w:r>
      <w:r>
        <w:t xml:space="preserve"> content of the same product, with the United Kingdom tending to have </w:t>
      </w:r>
      <w:r w:rsidR="005D08FC">
        <w:t xml:space="preserve">products with a </w:t>
      </w:r>
      <w:r>
        <w:t xml:space="preserve">lower salt content compared to </w:t>
      </w:r>
      <w:r w:rsidR="002F08B5">
        <w:t>Australia and New Zealand. See T</w:t>
      </w:r>
      <w:r>
        <w:t xml:space="preserve">able </w:t>
      </w:r>
      <w:r w:rsidR="001E14E2">
        <w:t>5</w:t>
      </w:r>
      <w:r w:rsidR="002F08B5">
        <w:t xml:space="preserve"> </w:t>
      </w:r>
      <w:r>
        <w:t>below</w:t>
      </w:r>
      <w:r w:rsidR="002F08B5">
        <w:t xml:space="preserve">. </w:t>
      </w:r>
    </w:p>
    <w:p w14:paraId="29EB9ACC" w14:textId="7E0F2402" w:rsidR="005D052D" w:rsidRDefault="005D052D" w:rsidP="00880EB0">
      <w:pPr>
        <w:pStyle w:val="Caption"/>
        <w:keepNext/>
      </w:pPr>
      <w:r w:rsidRPr="002F08B5">
        <w:rPr>
          <w:b/>
          <w:color w:val="auto"/>
          <w:sz w:val="24"/>
          <w:szCs w:val="24"/>
        </w:rPr>
        <w:t xml:space="preserve">Table </w:t>
      </w:r>
      <w:r w:rsidR="001E14E2">
        <w:rPr>
          <w:b/>
          <w:color w:val="auto"/>
          <w:sz w:val="24"/>
          <w:szCs w:val="24"/>
        </w:rPr>
        <w:t>5</w:t>
      </w:r>
      <w:r w:rsidRPr="002F08B5">
        <w:rPr>
          <w:b/>
          <w:color w:val="auto"/>
          <w:sz w:val="24"/>
          <w:szCs w:val="24"/>
        </w:rPr>
        <w:t>: International</w:t>
      </w:r>
      <w:r w:rsidRPr="008E7758">
        <w:rPr>
          <w:b/>
          <w:color w:val="auto"/>
          <w:sz w:val="24"/>
          <w:szCs w:val="24"/>
        </w:rPr>
        <w:t xml:space="preserve"> comparison of s</w:t>
      </w:r>
      <w:r w:rsidR="006C13C9">
        <w:rPr>
          <w:b/>
          <w:color w:val="auto"/>
          <w:sz w:val="24"/>
          <w:szCs w:val="24"/>
        </w:rPr>
        <w:t>alt</w:t>
      </w:r>
      <w:r w:rsidRPr="008E7758">
        <w:rPr>
          <w:b/>
          <w:color w:val="auto"/>
          <w:sz w:val="24"/>
          <w:szCs w:val="24"/>
        </w:rPr>
        <w:t xml:space="preserve"> levels in fast food</w:t>
      </w:r>
      <w:r w:rsidR="002F08B5">
        <w:rPr>
          <w:rStyle w:val="FootnoteReference"/>
        </w:rPr>
        <w:footnoteReference w:id="172"/>
      </w:r>
      <w:r w:rsidR="002F08B5">
        <w:t>.</w:t>
      </w:r>
    </w:p>
    <w:tbl>
      <w:tblPr>
        <w:tblStyle w:val="TableGrid"/>
        <w:tblW w:w="0" w:type="auto"/>
        <w:tblLook w:val="04A0" w:firstRow="1" w:lastRow="0" w:firstColumn="1" w:lastColumn="0" w:noHBand="0" w:noVBand="1"/>
        <w:tblCaption w:val="Table 5: International comparison of salt levels in fast foods"/>
        <w:tblDescription w:val="Table has 7 columns. Column 1 lists selected fast food products. Column 2 provides the product serving size; salt per serving (in grams) and salt per 100g for Australia. Column 3 provides the product serving size; salt per serving (in grams) and salt per 100g for Canada. Column 4 provides the product serving size; salt per serving (in grams) and salt per 100g for France. Column 5 provides the product serving size; salt per serving (in grams) and salt per 100g for New Zealand. Column 6 provides the product serving size; salt per serving (in grams) and salt per 100g for UK. Column 7 provides the product serving size; salt per serving (in grams) and salt per 100g for United States. "/>
      </w:tblPr>
      <w:tblGrid>
        <w:gridCol w:w="1440"/>
        <w:gridCol w:w="1262"/>
        <w:gridCol w:w="1263"/>
        <w:gridCol w:w="1263"/>
        <w:gridCol w:w="1262"/>
        <w:gridCol w:w="1263"/>
        <w:gridCol w:w="1263"/>
      </w:tblGrid>
      <w:tr w:rsidR="006C13C9" w14:paraId="597260FB" w14:textId="0AE1C8F8" w:rsidTr="00214A63">
        <w:trPr>
          <w:tblHeader/>
        </w:trPr>
        <w:tc>
          <w:tcPr>
            <w:tcW w:w="1440" w:type="dxa"/>
          </w:tcPr>
          <w:p w14:paraId="44C47D75" w14:textId="09D090C2" w:rsidR="006C13C9" w:rsidRPr="005C6ADF" w:rsidRDefault="006C13C9" w:rsidP="19C8347C">
            <w:pPr>
              <w:rPr>
                <w:b/>
                <w:sz w:val="18"/>
                <w:szCs w:val="18"/>
              </w:rPr>
            </w:pPr>
            <w:r w:rsidRPr="005C6ADF">
              <w:rPr>
                <w:b/>
                <w:sz w:val="18"/>
                <w:szCs w:val="18"/>
              </w:rPr>
              <w:t>Product</w:t>
            </w:r>
          </w:p>
        </w:tc>
        <w:tc>
          <w:tcPr>
            <w:tcW w:w="1262" w:type="dxa"/>
          </w:tcPr>
          <w:p w14:paraId="410DCEF1" w14:textId="10FC580E" w:rsidR="006C13C9" w:rsidRPr="005C6ADF" w:rsidRDefault="006C13C9" w:rsidP="005C6ADF">
            <w:pPr>
              <w:jc w:val="center"/>
              <w:rPr>
                <w:b/>
                <w:sz w:val="18"/>
                <w:szCs w:val="18"/>
              </w:rPr>
            </w:pPr>
            <w:r w:rsidRPr="005C6ADF">
              <w:rPr>
                <w:b/>
                <w:sz w:val="18"/>
                <w:szCs w:val="18"/>
              </w:rPr>
              <w:t>Australia</w:t>
            </w:r>
          </w:p>
        </w:tc>
        <w:tc>
          <w:tcPr>
            <w:tcW w:w="1263" w:type="dxa"/>
          </w:tcPr>
          <w:p w14:paraId="49C8BA6F" w14:textId="28B487A7" w:rsidR="006C13C9" w:rsidRPr="005C6ADF" w:rsidRDefault="006C13C9" w:rsidP="005C6ADF">
            <w:pPr>
              <w:jc w:val="center"/>
              <w:rPr>
                <w:b/>
                <w:sz w:val="18"/>
                <w:szCs w:val="18"/>
              </w:rPr>
            </w:pPr>
            <w:r w:rsidRPr="005C6ADF">
              <w:rPr>
                <w:b/>
                <w:sz w:val="18"/>
                <w:szCs w:val="18"/>
              </w:rPr>
              <w:t>Canada</w:t>
            </w:r>
          </w:p>
        </w:tc>
        <w:tc>
          <w:tcPr>
            <w:tcW w:w="1263" w:type="dxa"/>
          </w:tcPr>
          <w:p w14:paraId="34A507B8" w14:textId="0EC50B79" w:rsidR="006C13C9" w:rsidRPr="005C6ADF" w:rsidRDefault="006C13C9" w:rsidP="005C6ADF">
            <w:pPr>
              <w:jc w:val="center"/>
              <w:rPr>
                <w:b/>
                <w:sz w:val="18"/>
                <w:szCs w:val="18"/>
              </w:rPr>
            </w:pPr>
            <w:r w:rsidRPr="005C6ADF">
              <w:rPr>
                <w:b/>
                <w:sz w:val="18"/>
                <w:szCs w:val="18"/>
              </w:rPr>
              <w:t>France</w:t>
            </w:r>
          </w:p>
        </w:tc>
        <w:tc>
          <w:tcPr>
            <w:tcW w:w="1262" w:type="dxa"/>
          </w:tcPr>
          <w:p w14:paraId="3A25FE0D" w14:textId="633994B7" w:rsidR="006C13C9" w:rsidRPr="005C6ADF" w:rsidRDefault="006C13C9" w:rsidP="005C6ADF">
            <w:pPr>
              <w:jc w:val="center"/>
              <w:rPr>
                <w:b/>
                <w:sz w:val="18"/>
                <w:szCs w:val="18"/>
              </w:rPr>
            </w:pPr>
            <w:r w:rsidRPr="005C6ADF">
              <w:rPr>
                <w:b/>
                <w:sz w:val="18"/>
                <w:szCs w:val="18"/>
              </w:rPr>
              <w:t>New Zealand</w:t>
            </w:r>
          </w:p>
        </w:tc>
        <w:tc>
          <w:tcPr>
            <w:tcW w:w="1263" w:type="dxa"/>
          </w:tcPr>
          <w:p w14:paraId="5E901B40" w14:textId="10387F63" w:rsidR="006C13C9" w:rsidRPr="005C6ADF" w:rsidRDefault="005C6ADF" w:rsidP="005C6ADF">
            <w:pPr>
              <w:jc w:val="center"/>
              <w:rPr>
                <w:b/>
                <w:sz w:val="18"/>
                <w:szCs w:val="18"/>
              </w:rPr>
            </w:pPr>
            <w:r w:rsidRPr="005C6ADF">
              <w:rPr>
                <w:b/>
                <w:sz w:val="18"/>
                <w:szCs w:val="18"/>
              </w:rPr>
              <w:t>UK</w:t>
            </w:r>
          </w:p>
        </w:tc>
        <w:tc>
          <w:tcPr>
            <w:tcW w:w="1263" w:type="dxa"/>
          </w:tcPr>
          <w:p w14:paraId="12E79010" w14:textId="34D42AEF" w:rsidR="006C13C9" w:rsidRPr="005C6ADF" w:rsidRDefault="006C13C9" w:rsidP="005C6ADF">
            <w:pPr>
              <w:jc w:val="center"/>
              <w:rPr>
                <w:b/>
                <w:sz w:val="18"/>
                <w:szCs w:val="18"/>
              </w:rPr>
            </w:pPr>
            <w:r w:rsidRPr="005C6ADF">
              <w:rPr>
                <w:b/>
                <w:sz w:val="18"/>
                <w:szCs w:val="18"/>
              </w:rPr>
              <w:t>United States</w:t>
            </w:r>
          </w:p>
        </w:tc>
      </w:tr>
      <w:tr w:rsidR="006C13C9" w14:paraId="050E7B00" w14:textId="77777777" w:rsidTr="00214A63">
        <w:trPr>
          <w:tblHeader/>
        </w:trPr>
        <w:tc>
          <w:tcPr>
            <w:tcW w:w="1440" w:type="dxa"/>
          </w:tcPr>
          <w:p w14:paraId="1198C350" w14:textId="77777777" w:rsidR="006C13C9" w:rsidRPr="005C6ADF" w:rsidRDefault="006C13C9" w:rsidP="19C8347C">
            <w:pPr>
              <w:rPr>
                <w:sz w:val="18"/>
                <w:szCs w:val="18"/>
              </w:rPr>
            </w:pPr>
          </w:p>
        </w:tc>
        <w:tc>
          <w:tcPr>
            <w:tcW w:w="7576" w:type="dxa"/>
            <w:gridSpan w:val="6"/>
          </w:tcPr>
          <w:p w14:paraId="574B7684" w14:textId="2AFD20FE" w:rsidR="006C13C9" w:rsidRPr="005C6ADF" w:rsidRDefault="006C13C9" w:rsidP="005C6ADF">
            <w:pPr>
              <w:jc w:val="center"/>
              <w:rPr>
                <w:sz w:val="18"/>
                <w:szCs w:val="18"/>
              </w:rPr>
            </w:pPr>
            <w:r w:rsidRPr="005C6ADF">
              <w:rPr>
                <w:sz w:val="18"/>
                <w:szCs w:val="18"/>
              </w:rPr>
              <w:t>Se</w:t>
            </w:r>
            <w:r w:rsidR="0033131C" w:rsidRPr="005C6ADF">
              <w:rPr>
                <w:sz w:val="18"/>
                <w:szCs w:val="18"/>
              </w:rPr>
              <w:t>rving size; salt per serving (salt per 100g) g</w:t>
            </w:r>
          </w:p>
        </w:tc>
      </w:tr>
      <w:tr w:rsidR="006C13C9" w14:paraId="64781188" w14:textId="588E719B" w:rsidTr="00214A63">
        <w:tc>
          <w:tcPr>
            <w:tcW w:w="1440" w:type="dxa"/>
          </w:tcPr>
          <w:p w14:paraId="13FF6B42" w14:textId="2C840D81" w:rsidR="006C13C9" w:rsidRPr="005C6ADF" w:rsidRDefault="006C13C9" w:rsidP="19C8347C">
            <w:pPr>
              <w:rPr>
                <w:sz w:val="18"/>
                <w:szCs w:val="18"/>
              </w:rPr>
            </w:pPr>
            <w:r w:rsidRPr="005C6ADF">
              <w:rPr>
                <w:sz w:val="18"/>
                <w:szCs w:val="18"/>
              </w:rPr>
              <w:t xml:space="preserve">Burger King </w:t>
            </w:r>
            <w:r w:rsidR="005C6ADF">
              <w:rPr>
                <w:sz w:val="18"/>
                <w:szCs w:val="18"/>
              </w:rPr>
              <w:t xml:space="preserve">* </w:t>
            </w:r>
            <w:r w:rsidRPr="005C6ADF">
              <w:rPr>
                <w:sz w:val="18"/>
                <w:szCs w:val="18"/>
              </w:rPr>
              <w:t>Double Whopper</w:t>
            </w:r>
          </w:p>
        </w:tc>
        <w:tc>
          <w:tcPr>
            <w:tcW w:w="1262" w:type="dxa"/>
          </w:tcPr>
          <w:p w14:paraId="48C26FEF" w14:textId="5D72F5F8" w:rsidR="006C13C9" w:rsidRPr="005C6ADF" w:rsidRDefault="006C13C9" w:rsidP="19C8347C">
            <w:pPr>
              <w:rPr>
                <w:sz w:val="18"/>
                <w:szCs w:val="18"/>
              </w:rPr>
            </w:pPr>
            <w:r w:rsidRPr="005C6ADF">
              <w:rPr>
                <w:sz w:val="18"/>
                <w:szCs w:val="18"/>
              </w:rPr>
              <w:t>359; 2.9</w:t>
            </w:r>
            <w:r w:rsidR="0033131C" w:rsidRPr="005C6ADF">
              <w:rPr>
                <w:sz w:val="18"/>
                <w:szCs w:val="18"/>
              </w:rPr>
              <w:t xml:space="preserve"> (0.8)</w:t>
            </w:r>
          </w:p>
        </w:tc>
        <w:tc>
          <w:tcPr>
            <w:tcW w:w="1263" w:type="dxa"/>
          </w:tcPr>
          <w:p w14:paraId="664CFD10" w14:textId="018FC5D9" w:rsidR="006C13C9" w:rsidRPr="005C6ADF" w:rsidRDefault="0033131C" w:rsidP="19C8347C">
            <w:pPr>
              <w:rPr>
                <w:sz w:val="18"/>
                <w:szCs w:val="18"/>
              </w:rPr>
            </w:pPr>
            <w:r w:rsidRPr="005C6ADF">
              <w:rPr>
                <w:sz w:val="18"/>
                <w:szCs w:val="18"/>
              </w:rPr>
              <w:t>373; 2.5 (0.7)</w:t>
            </w:r>
          </w:p>
        </w:tc>
        <w:tc>
          <w:tcPr>
            <w:tcW w:w="1263" w:type="dxa"/>
          </w:tcPr>
          <w:p w14:paraId="32953577" w14:textId="794681F3" w:rsidR="006C13C9" w:rsidRPr="005C6ADF" w:rsidRDefault="0033131C" w:rsidP="19C8347C">
            <w:pPr>
              <w:rPr>
                <w:sz w:val="18"/>
                <w:szCs w:val="18"/>
              </w:rPr>
            </w:pPr>
            <w:proofErr w:type="spellStart"/>
            <w:r w:rsidRPr="005C6ADF">
              <w:rPr>
                <w:sz w:val="18"/>
                <w:szCs w:val="18"/>
              </w:rPr>
              <w:t>na</w:t>
            </w:r>
            <w:proofErr w:type="spellEnd"/>
          </w:p>
        </w:tc>
        <w:tc>
          <w:tcPr>
            <w:tcW w:w="1262" w:type="dxa"/>
          </w:tcPr>
          <w:p w14:paraId="2130EA3A" w14:textId="653FF8B7" w:rsidR="006C13C9" w:rsidRPr="005C6ADF" w:rsidRDefault="0033131C" w:rsidP="19C8347C">
            <w:pPr>
              <w:rPr>
                <w:sz w:val="18"/>
                <w:szCs w:val="18"/>
              </w:rPr>
            </w:pPr>
            <w:r w:rsidRPr="005C6ADF">
              <w:rPr>
                <w:sz w:val="18"/>
                <w:szCs w:val="18"/>
              </w:rPr>
              <w:t>367; 2.7 (0.7)</w:t>
            </w:r>
          </w:p>
        </w:tc>
        <w:tc>
          <w:tcPr>
            <w:tcW w:w="1263" w:type="dxa"/>
          </w:tcPr>
          <w:p w14:paraId="6C967E4C" w14:textId="62B37233" w:rsidR="006C13C9" w:rsidRPr="005C6ADF" w:rsidRDefault="0033131C" w:rsidP="19C8347C">
            <w:pPr>
              <w:rPr>
                <w:sz w:val="18"/>
                <w:szCs w:val="18"/>
              </w:rPr>
            </w:pPr>
            <w:r w:rsidRPr="005C6ADF">
              <w:rPr>
                <w:sz w:val="18"/>
                <w:szCs w:val="18"/>
              </w:rPr>
              <w:t>355; 2.3 (0.7)</w:t>
            </w:r>
          </w:p>
        </w:tc>
        <w:tc>
          <w:tcPr>
            <w:tcW w:w="1263" w:type="dxa"/>
          </w:tcPr>
          <w:p w14:paraId="6BA91F32" w14:textId="4DF3EC74" w:rsidR="006C13C9" w:rsidRPr="005C6ADF" w:rsidRDefault="0033131C" w:rsidP="19C8347C">
            <w:pPr>
              <w:rPr>
                <w:sz w:val="18"/>
                <w:szCs w:val="18"/>
              </w:rPr>
            </w:pPr>
            <w:proofErr w:type="spellStart"/>
            <w:r w:rsidRPr="005C6ADF">
              <w:rPr>
                <w:sz w:val="18"/>
                <w:szCs w:val="18"/>
              </w:rPr>
              <w:t>na</w:t>
            </w:r>
            <w:proofErr w:type="spellEnd"/>
            <w:r w:rsidRPr="005C6ADF">
              <w:rPr>
                <w:sz w:val="18"/>
                <w:szCs w:val="18"/>
              </w:rPr>
              <w:t>; 2.7 (</w:t>
            </w:r>
            <w:proofErr w:type="spellStart"/>
            <w:r w:rsidRPr="005C6ADF">
              <w:rPr>
                <w:sz w:val="18"/>
                <w:szCs w:val="18"/>
              </w:rPr>
              <w:t>na</w:t>
            </w:r>
            <w:proofErr w:type="spellEnd"/>
            <w:r w:rsidRPr="005C6ADF">
              <w:rPr>
                <w:sz w:val="18"/>
                <w:szCs w:val="18"/>
              </w:rPr>
              <w:t>)</w:t>
            </w:r>
          </w:p>
        </w:tc>
      </w:tr>
      <w:tr w:rsidR="006C13C9" w14:paraId="6D325F46" w14:textId="521EC3D7" w:rsidTr="00214A63">
        <w:tc>
          <w:tcPr>
            <w:tcW w:w="1440" w:type="dxa"/>
          </w:tcPr>
          <w:p w14:paraId="6D458C35" w14:textId="4B918738" w:rsidR="006C13C9" w:rsidRPr="005C6ADF" w:rsidRDefault="006C13C9" w:rsidP="19C8347C">
            <w:pPr>
              <w:rPr>
                <w:sz w:val="18"/>
                <w:szCs w:val="18"/>
              </w:rPr>
            </w:pPr>
            <w:r w:rsidRPr="005C6ADF">
              <w:rPr>
                <w:sz w:val="18"/>
                <w:szCs w:val="18"/>
              </w:rPr>
              <w:t xml:space="preserve">Burger King </w:t>
            </w:r>
            <w:r w:rsidR="005C6ADF">
              <w:rPr>
                <w:sz w:val="18"/>
                <w:szCs w:val="18"/>
              </w:rPr>
              <w:t xml:space="preserve">* </w:t>
            </w:r>
            <w:r w:rsidRPr="005C6ADF">
              <w:rPr>
                <w:sz w:val="18"/>
                <w:szCs w:val="18"/>
              </w:rPr>
              <w:t>Cheese</w:t>
            </w:r>
          </w:p>
        </w:tc>
        <w:tc>
          <w:tcPr>
            <w:tcW w:w="1262" w:type="dxa"/>
          </w:tcPr>
          <w:p w14:paraId="2020CC7C" w14:textId="15B66E30" w:rsidR="006C13C9" w:rsidRPr="005C6ADF" w:rsidRDefault="0033131C" w:rsidP="19C8347C">
            <w:pPr>
              <w:rPr>
                <w:sz w:val="18"/>
                <w:szCs w:val="18"/>
              </w:rPr>
            </w:pPr>
            <w:r w:rsidRPr="005C6ADF">
              <w:rPr>
                <w:sz w:val="18"/>
                <w:szCs w:val="18"/>
              </w:rPr>
              <w:t>213; 2.6 (1.5)</w:t>
            </w:r>
          </w:p>
        </w:tc>
        <w:tc>
          <w:tcPr>
            <w:tcW w:w="1263" w:type="dxa"/>
          </w:tcPr>
          <w:p w14:paraId="25517502" w14:textId="512727EA" w:rsidR="006C13C9" w:rsidRPr="005C6ADF" w:rsidRDefault="005C6ADF" w:rsidP="19C8347C">
            <w:pPr>
              <w:rPr>
                <w:sz w:val="18"/>
                <w:szCs w:val="18"/>
              </w:rPr>
            </w:pPr>
            <w:r>
              <w:rPr>
                <w:sz w:val="18"/>
                <w:szCs w:val="18"/>
              </w:rPr>
              <w:t>189; 2.4 (1.3)</w:t>
            </w:r>
          </w:p>
        </w:tc>
        <w:tc>
          <w:tcPr>
            <w:tcW w:w="1263" w:type="dxa"/>
          </w:tcPr>
          <w:p w14:paraId="41029DE6" w14:textId="5A8E1B39" w:rsidR="006C13C9" w:rsidRPr="005C6ADF" w:rsidRDefault="0033131C" w:rsidP="19C8347C">
            <w:pPr>
              <w:rPr>
                <w:sz w:val="18"/>
                <w:szCs w:val="18"/>
              </w:rPr>
            </w:pPr>
            <w:proofErr w:type="spellStart"/>
            <w:r w:rsidRPr="005C6ADF">
              <w:rPr>
                <w:sz w:val="18"/>
                <w:szCs w:val="18"/>
              </w:rPr>
              <w:t>na</w:t>
            </w:r>
            <w:proofErr w:type="spellEnd"/>
          </w:p>
        </w:tc>
        <w:tc>
          <w:tcPr>
            <w:tcW w:w="1262" w:type="dxa"/>
          </w:tcPr>
          <w:p w14:paraId="1C706808" w14:textId="132EE32C" w:rsidR="006C13C9" w:rsidRPr="005C6ADF" w:rsidRDefault="0033131C" w:rsidP="19C8347C">
            <w:pPr>
              <w:rPr>
                <w:sz w:val="18"/>
                <w:szCs w:val="18"/>
              </w:rPr>
            </w:pPr>
            <w:r w:rsidRPr="005C6ADF">
              <w:rPr>
                <w:sz w:val="18"/>
                <w:szCs w:val="18"/>
              </w:rPr>
              <w:t>187; 2.6 (1.2)</w:t>
            </w:r>
          </w:p>
        </w:tc>
        <w:tc>
          <w:tcPr>
            <w:tcW w:w="1263" w:type="dxa"/>
          </w:tcPr>
          <w:p w14:paraId="1F53CED4" w14:textId="66EFA647" w:rsidR="006C13C9" w:rsidRPr="005C6ADF" w:rsidRDefault="0033131C" w:rsidP="19C8347C">
            <w:pPr>
              <w:rPr>
                <w:sz w:val="18"/>
                <w:szCs w:val="18"/>
              </w:rPr>
            </w:pPr>
            <w:r w:rsidRPr="005C6ADF">
              <w:rPr>
                <w:sz w:val="18"/>
                <w:szCs w:val="18"/>
              </w:rPr>
              <w:t>173; 2.4 (1.4)</w:t>
            </w:r>
          </w:p>
        </w:tc>
        <w:tc>
          <w:tcPr>
            <w:tcW w:w="1263" w:type="dxa"/>
          </w:tcPr>
          <w:p w14:paraId="014BE08F" w14:textId="5F44222E" w:rsidR="006C13C9" w:rsidRPr="005C6ADF" w:rsidRDefault="0033131C" w:rsidP="19C8347C">
            <w:pPr>
              <w:rPr>
                <w:sz w:val="18"/>
                <w:szCs w:val="18"/>
              </w:rPr>
            </w:pPr>
            <w:proofErr w:type="spellStart"/>
            <w:r w:rsidRPr="005C6ADF">
              <w:rPr>
                <w:sz w:val="18"/>
                <w:szCs w:val="18"/>
              </w:rPr>
              <w:t>na</w:t>
            </w:r>
            <w:proofErr w:type="spellEnd"/>
            <w:r w:rsidRPr="005C6ADF">
              <w:rPr>
                <w:sz w:val="18"/>
                <w:szCs w:val="18"/>
              </w:rPr>
              <w:t>; 2.5 (</w:t>
            </w:r>
            <w:proofErr w:type="spellStart"/>
            <w:r w:rsidRPr="005C6ADF">
              <w:rPr>
                <w:sz w:val="18"/>
                <w:szCs w:val="18"/>
              </w:rPr>
              <w:t>na</w:t>
            </w:r>
            <w:proofErr w:type="spellEnd"/>
            <w:r w:rsidRPr="005C6ADF">
              <w:rPr>
                <w:sz w:val="18"/>
                <w:szCs w:val="18"/>
              </w:rPr>
              <w:t>)</w:t>
            </w:r>
          </w:p>
        </w:tc>
      </w:tr>
      <w:tr w:rsidR="006C13C9" w14:paraId="00CD5455" w14:textId="56F26C12" w:rsidTr="00214A63">
        <w:tc>
          <w:tcPr>
            <w:tcW w:w="1440" w:type="dxa"/>
          </w:tcPr>
          <w:p w14:paraId="407DEC7A" w14:textId="21E332FF" w:rsidR="006C13C9" w:rsidRPr="005C6ADF" w:rsidRDefault="006C13C9" w:rsidP="19C8347C">
            <w:pPr>
              <w:rPr>
                <w:sz w:val="18"/>
                <w:szCs w:val="18"/>
              </w:rPr>
            </w:pPr>
            <w:r w:rsidRPr="005C6ADF">
              <w:rPr>
                <w:sz w:val="18"/>
                <w:szCs w:val="18"/>
              </w:rPr>
              <w:t>Domino’s Hawaiian Pizza</w:t>
            </w:r>
          </w:p>
        </w:tc>
        <w:tc>
          <w:tcPr>
            <w:tcW w:w="1262" w:type="dxa"/>
          </w:tcPr>
          <w:p w14:paraId="39E5DB76" w14:textId="3213DFB9" w:rsidR="006C13C9" w:rsidRPr="005C6ADF" w:rsidRDefault="0033131C" w:rsidP="19C8347C">
            <w:pPr>
              <w:rPr>
                <w:sz w:val="18"/>
                <w:szCs w:val="18"/>
              </w:rPr>
            </w:pPr>
            <w:r w:rsidRPr="005C6ADF">
              <w:rPr>
                <w:sz w:val="18"/>
                <w:szCs w:val="18"/>
              </w:rPr>
              <w:t>65; 1.0 (1.5)</w:t>
            </w:r>
          </w:p>
        </w:tc>
        <w:tc>
          <w:tcPr>
            <w:tcW w:w="1263" w:type="dxa"/>
          </w:tcPr>
          <w:p w14:paraId="42212139" w14:textId="369E0316" w:rsidR="006C13C9" w:rsidRPr="005C6ADF" w:rsidRDefault="0033131C" w:rsidP="19C8347C">
            <w:pPr>
              <w:rPr>
                <w:sz w:val="18"/>
                <w:szCs w:val="18"/>
              </w:rPr>
            </w:pPr>
            <w:proofErr w:type="spellStart"/>
            <w:r w:rsidRPr="005C6ADF">
              <w:rPr>
                <w:sz w:val="18"/>
                <w:szCs w:val="18"/>
              </w:rPr>
              <w:t>na</w:t>
            </w:r>
            <w:proofErr w:type="spellEnd"/>
          </w:p>
        </w:tc>
        <w:tc>
          <w:tcPr>
            <w:tcW w:w="1263" w:type="dxa"/>
          </w:tcPr>
          <w:p w14:paraId="0C045C01" w14:textId="61B22E21" w:rsidR="006C13C9" w:rsidRPr="005C6ADF" w:rsidRDefault="0033131C" w:rsidP="19C8347C">
            <w:pPr>
              <w:rPr>
                <w:sz w:val="18"/>
                <w:szCs w:val="18"/>
              </w:rPr>
            </w:pPr>
            <w:proofErr w:type="spellStart"/>
            <w:r w:rsidRPr="005C6ADF">
              <w:rPr>
                <w:sz w:val="18"/>
                <w:szCs w:val="18"/>
              </w:rPr>
              <w:t>na</w:t>
            </w:r>
            <w:proofErr w:type="spellEnd"/>
          </w:p>
        </w:tc>
        <w:tc>
          <w:tcPr>
            <w:tcW w:w="1262" w:type="dxa"/>
          </w:tcPr>
          <w:p w14:paraId="1E4A531B" w14:textId="6DF713A6" w:rsidR="006C13C9" w:rsidRPr="005C6ADF" w:rsidRDefault="0033131C" w:rsidP="19C8347C">
            <w:pPr>
              <w:rPr>
                <w:sz w:val="18"/>
                <w:szCs w:val="18"/>
              </w:rPr>
            </w:pPr>
            <w:r w:rsidRPr="005C6ADF">
              <w:rPr>
                <w:sz w:val="18"/>
                <w:szCs w:val="18"/>
              </w:rPr>
              <w:t>67; 1.0 (1.5)</w:t>
            </w:r>
          </w:p>
        </w:tc>
        <w:tc>
          <w:tcPr>
            <w:tcW w:w="1263" w:type="dxa"/>
          </w:tcPr>
          <w:p w14:paraId="2462E3E3" w14:textId="335AFFD7" w:rsidR="006C13C9" w:rsidRPr="005C6ADF" w:rsidRDefault="0033131C" w:rsidP="19C8347C">
            <w:pPr>
              <w:rPr>
                <w:sz w:val="18"/>
                <w:szCs w:val="18"/>
              </w:rPr>
            </w:pPr>
            <w:r w:rsidRPr="005C6ADF">
              <w:rPr>
                <w:sz w:val="18"/>
                <w:szCs w:val="18"/>
              </w:rPr>
              <w:t>70; 0.7 (1.0)</w:t>
            </w:r>
          </w:p>
        </w:tc>
        <w:tc>
          <w:tcPr>
            <w:tcW w:w="1263" w:type="dxa"/>
          </w:tcPr>
          <w:p w14:paraId="2D28C921" w14:textId="6BDE6503" w:rsidR="006C13C9" w:rsidRPr="005C6ADF" w:rsidRDefault="0033131C" w:rsidP="19C8347C">
            <w:pPr>
              <w:rPr>
                <w:sz w:val="18"/>
                <w:szCs w:val="18"/>
              </w:rPr>
            </w:pPr>
            <w:proofErr w:type="spellStart"/>
            <w:r w:rsidRPr="005C6ADF">
              <w:rPr>
                <w:sz w:val="18"/>
                <w:szCs w:val="18"/>
              </w:rPr>
              <w:t>na</w:t>
            </w:r>
            <w:proofErr w:type="spellEnd"/>
          </w:p>
        </w:tc>
      </w:tr>
      <w:tr w:rsidR="006C13C9" w14:paraId="13702E43" w14:textId="10B8CD16" w:rsidTr="00214A63">
        <w:tc>
          <w:tcPr>
            <w:tcW w:w="1440" w:type="dxa"/>
          </w:tcPr>
          <w:p w14:paraId="602904B0" w14:textId="36E3B513" w:rsidR="006C13C9" w:rsidRPr="005C6ADF" w:rsidRDefault="006C13C9" w:rsidP="19C8347C">
            <w:pPr>
              <w:rPr>
                <w:sz w:val="18"/>
                <w:szCs w:val="18"/>
              </w:rPr>
            </w:pPr>
            <w:r w:rsidRPr="005C6ADF">
              <w:rPr>
                <w:sz w:val="18"/>
                <w:szCs w:val="18"/>
              </w:rPr>
              <w:t>Kentucky Fried Chicken Zinger Burger</w:t>
            </w:r>
          </w:p>
        </w:tc>
        <w:tc>
          <w:tcPr>
            <w:tcW w:w="1262" w:type="dxa"/>
          </w:tcPr>
          <w:p w14:paraId="20A5BC8A" w14:textId="3180D4CF" w:rsidR="006C13C9" w:rsidRPr="005C6ADF" w:rsidRDefault="0033131C" w:rsidP="19C8347C">
            <w:pPr>
              <w:rPr>
                <w:sz w:val="18"/>
                <w:szCs w:val="18"/>
              </w:rPr>
            </w:pPr>
            <w:r w:rsidRPr="005C6ADF">
              <w:rPr>
                <w:sz w:val="18"/>
                <w:szCs w:val="18"/>
              </w:rPr>
              <w:t>197; 3.0 (1.5)</w:t>
            </w:r>
          </w:p>
        </w:tc>
        <w:tc>
          <w:tcPr>
            <w:tcW w:w="1263" w:type="dxa"/>
          </w:tcPr>
          <w:p w14:paraId="113ECEF4" w14:textId="598990E5" w:rsidR="006C13C9" w:rsidRPr="005C6ADF" w:rsidRDefault="0033131C" w:rsidP="19C8347C">
            <w:pPr>
              <w:rPr>
                <w:sz w:val="18"/>
                <w:szCs w:val="18"/>
              </w:rPr>
            </w:pPr>
            <w:proofErr w:type="spellStart"/>
            <w:r w:rsidRPr="005C6ADF">
              <w:rPr>
                <w:sz w:val="18"/>
                <w:szCs w:val="18"/>
              </w:rPr>
              <w:t>na</w:t>
            </w:r>
            <w:proofErr w:type="spellEnd"/>
          </w:p>
        </w:tc>
        <w:tc>
          <w:tcPr>
            <w:tcW w:w="1263" w:type="dxa"/>
          </w:tcPr>
          <w:p w14:paraId="319631CB" w14:textId="125D81D3" w:rsidR="006C13C9" w:rsidRPr="005C6ADF" w:rsidRDefault="0033131C" w:rsidP="19C8347C">
            <w:pPr>
              <w:rPr>
                <w:sz w:val="18"/>
                <w:szCs w:val="18"/>
              </w:rPr>
            </w:pPr>
            <w:r w:rsidRPr="005C6ADF">
              <w:rPr>
                <w:sz w:val="18"/>
                <w:szCs w:val="18"/>
              </w:rPr>
              <w:t>207; 2.6 (1.2)</w:t>
            </w:r>
          </w:p>
        </w:tc>
        <w:tc>
          <w:tcPr>
            <w:tcW w:w="1262" w:type="dxa"/>
          </w:tcPr>
          <w:p w14:paraId="6A0119B3" w14:textId="61531DC8" w:rsidR="006C13C9" w:rsidRPr="005C6ADF" w:rsidRDefault="0033131C" w:rsidP="19C8347C">
            <w:pPr>
              <w:rPr>
                <w:sz w:val="18"/>
                <w:szCs w:val="18"/>
              </w:rPr>
            </w:pPr>
            <w:r w:rsidRPr="005C6ADF">
              <w:rPr>
                <w:sz w:val="18"/>
                <w:szCs w:val="18"/>
              </w:rPr>
              <w:t>186; 3.1 (1.7)</w:t>
            </w:r>
          </w:p>
        </w:tc>
        <w:tc>
          <w:tcPr>
            <w:tcW w:w="1263" w:type="dxa"/>
          </w:tcPr>
          <w:p w14:paraId="4743E9E1" w14:textId="5566F22C" w:rsidR="006C13C9" w:rsidRPr="005C6ADF" w:rsidRDefault="0033131C" w:rsidP="19C8347C">
            <w:pPr>
              <w:rPr>
                <w:sz w:val="18"/>
                <w:szCs w:val="18"/>
              </w:rPr>
            </w:pPr>
            <w:proofErr w:type="spellStart"/>
            <w:r w:rsidRPr="005C6ADF">
              <w:rPr>
                <w:sz w:val="18"/>
                <w:szCs w:val="18"/>
              </w:rPr>
              <w:t>na</w:t>
            </w:r>
            <w:proofErr w:type="spellEnd"/>
            <w:r w:rsidRPr="005C6ADF">
              <w:rPr>
                <w:sz w:val="18"/>
                <w:szCs w:val="18"/>
              </w:rPr>
              <w:t>; 3.0 (</w:t>
            </w:r>
            <w:proofErr w:type="spellStart"/>
            <w:r w:rsidRPr="005C6ADF">
              <w:rPr>
                <w:sz w:val="18"/>
                <w:szCs w:val="18"/>
              </w:rPr>
              <w:t>na</w:t>
            </w:r>
            <w:proofErr w:type="spellEnd"/>
            <w:r w:rsidRPr="005C6ADF">
              <w:rPr>
                <w:sz w:val="18"/>
                <w:szCs w:val="18"/>
              </w:rPr>
              <w:t>)</w:t>
            </w:r>
          </w:p>
        </w:tc>
        <w:tc>
          <w:tcPr>
            <w:tcW w:w="1263" w:type="dxa"/>
          </w:tcPr>
          <w:p w14:paraId="1CA06D28" w14:textId="610F38DE" w:rsidR="006C13C9" w:rsidRPr="005C6ADF" w:rsidRDefault="0033131C" w:rsidP="19C8347C">
            <w:pPr>
              <w:rPr>
                <w:sz w:val="18"/>
                <w:szCs w:val="18"/>
              </w:rPr>
            </w:pPr>
            <w:proofErr w:type="spellStart"/>
            <w:r w:rsidRPr="005C6ADF">
              <w:rPr>
                <w:sz w:val="18"/>
                <w:szCs w:val="18"/>
              </w:rPr>
              <w:t>na</w:t>
            </w:r>
            <w:proofErr w:type="spellEnd"/>
          </w:p>
        </w:tc>
      </w:tr>
      <w:tr w:rsidR="006C13C9" w14:paraId="05305916" w14:textId="518858CB" w:rsidTr="00214A63">
        <w:tc>
          <w:tcPr>
            <w:tcW w:w="1440" w:type="dxa"/>
          </w:tcPr>
          <w:p w14:paraId="51AB8BCB" w14:textId="0BEEAF94" w:rsidR="006C13C9" w:rsidRPr="005C6ADF" w:rsidRDefault="006C13C9" w:rsidP="19C8347C">
            <w:pPr>
              <w:rPr>
                <w:sz w:val="18"/>
                <w:szCs w:val="18"/>
              </w:rPr>
            </w:pPr>
            <w:r w:rsidRPr="005C6ADF">
              <w:rPr>
                <w:sz w:val="18"/>
                <w:szCs w:val="18"/>
              </w:rPr>
              <w:t>McDonalds Big Mac</w:t>
            </w:r>
          </w:p>
        </w:tc>
        <w:tc>
          <w:tcPr>
            <w:tcW w:w="1262" w:type="dxa"/>
          </w:tcPr>
          <w:p w14:paraId="3D1EC137" w14:textId="35C0C166" w:rsidR="006C13C9" w:rsidRPr="005C6ADF" w:rsidRDefault="0033131C" w:rsidP="19C8347C">
            <w:pPr>
              <w:rPr>
                <w:sz w:val="18"/>
                <w:szCs w:val="18"/>
              </w:rPr>
            </w:pPr>
            <w:r w:rsidRPr="005C6ADF">
              <w:rPr>
                <w:sz w:val="18"/>
                <w:szCs w:val="18"/>
              </w:rPr>
              <w:t>200; 2.4 (1.2)</w:t>
            </w:r>
          </w:p>
        </w:tc>
        <w:tc>
          <w:tcPr>
            <w:tcW w:w="1263" w:type="dxa"/>
          </w:tcPr>
          <w:p w14:paraId="5FE725FB" w14:textId="4A57F0D5" w:rsidR="006C13C9" w:rsidRPr="005C6ADF" w:rsidRDefault="0033131C" w:rsidP="19C8347C">
            <w:pPr>
              <w:rPr>
                <w:sz w:val="18"/>
                <w:szCs w:val="18"/>
              </w:rPr>
            </w:pPr>
            <w:r w:rsidRPr="005C6ADF">
              <w:rPr>
                <w:sz w:val="18"/>
                <w:szCs w:val="18"/>
              </w:rPr>
              <w:t>209; 2.6 (2.1)</w:t>
            </w:r>
          </w:p>
        </w:tc>
        <w:tc>
          <w:tcPr>
            <w:tcW w:w="1263" w:type="dxa"/>
          </w:tcPr>
          <w:p w14:paraId="41A90791" w14:textId="66558D46" w:rsidR="006C13C9" w:rsidRPr="005C6ADF" w:rsidRDefault="0033131C" w:rsidP="19C8347C">
            <w:pPr>
              <w:rPr>
                <w:sz w:val="18"/>
                <w:szCs w:val="18"/>
              </w:rPr>
            </w:pPr>
            <w:r w:rsidRPr="005C6ADF">
              <w:rPr>
                <w:sz w:val="18"/>
                <w:szCs w:val="18"/>
              </w:rPr>
              <w:t>221; 2.3 (1.0)</w:t>
            </w:r>
          </w:p>
        </w:tc>
        <w:tc>
          <w:tcPr>
            <w:tcW w:w="1262" w:type="dxa"/>
          </w:tcPr>
          <w:p w14:paraId="0C942969" w14:textId="10E70164" w:rsidR="006C13C9" w:rsidRPr="005C6ADF" w:rsidRDefault="0033131C" w:rsidP="19C8347C">
            <w:pPr>
              <w:rPr>
                <w:sz w:val="18"/>
                <w:szCs w:val="18"/>
              </w:rPr>
            </w:pPr>
            <w:r w:rsidRPr="005C6ADF">
              <w:rPr>
                <w:sz w:val="18"/>
                <w:szCs w:val="18"/>
              </w:rPr>
              <w:t>202; 2.7 (1.3)</w:t>
            </w:r>
          </w:p>
        </w:tc>
        <w:tc>
          <w:tcPr>
            <w:tcW w:w="1263" w:type="dxa"/>
          </w:tcPr>
          <w:p w14:paraId="2B054B8E" w14:textId="6D2FD03F" w:rsidR="006C13C9" w:rsidRPr="005C6ADF" w:rsidRDefault="0033131C" w:rsidP="19C8347C">
            <w:pPr>
              <w:rPr>
                <w:sz w:val="18"/>
                <w:szCs w:val="18"/>
              </w:rPr>
            </w:pPr>
            <w:r w:rsidRPr="005C6ADF">
              <w:rPr>
                <w:sz w:val="18"/>
                <w:szCs w:val="18"/>
              </w:rPr>
              <w:t>214; 2.1 (1.0)</w:t>
            </w:r>
          </w:p>
        </w:tc>
        <w:tc>
          <w:tcPr>
            <w:tcW w:w="1263" w:type="dxa"/>
          </w:tcPr>
          <w:p w14:paraId="76C34599" w14:textId="6393EA58" w:rsidR="006C13C9" w:rsidRPr="005C6ADF" w:rsidRDefault="0033131C" w:rsidP="19C8347C">
            <w:pPr>
              <w:rPr>
                <w:sz w:val="18"/>
                <w:szCs w:val="18"/>
              </w:rPr>
            </w:pPr>
            <w:r w:rsidRPr="005C6ADF">
              <w:rPr>
                <w:sz w:val="18"/>
                <w:szCs w:val="18"/>
              </w:rPr>
              <w:t>214; 2.6 (1.2)</w:t>
            </w:r>
          </w:p>
        </w:tc>
      </w:tr>
      <w:tr w:rsidR="006C13C9" w14:paraId="2AC2274A" w14:textId="3C520754" w:rsidTr="00214A63">
        <w:tc>
          <w:tcPr>
            <w:tcW w:w="1440" w:type="dxa"/>
          </w:tcPr>
          <w:p w14:paraId="2AD653F2" w14:textId="444D89CE" w:rsidR="006C13C9" w:rsidRPr="005C6ADF" w:rsidRDefault="006C13C9" w:rsidP="19C8347C">
            <w:pPr>
              <w:rPr>
                <w:sz w:val="18"/>
                <w:szCs w:val="18"/>
              </w:rPr>
            </w:pPr>
            <w:r w:rsidRPr="005C6ADF">
              <w:rPr>
                <w:sz w:val="18"/>
                <w:szCs w:val="18"/>
              </w:rPr>
              <w:t>McDonalds Chicken Nuggets</w:t>
            </w:r>
          </w:p>
        </w:tc>
        <w:tc>
          <w:tcPr>
            <w:tcW w:w="1262" w:type="dxa"/>
          </w:tcPr>
          <w:p w14:paraId="7B5F322B" w14:textId="37D53445" w:rsidR="006C13C9" w:rsidRPr="005C6ADF" w:rsidRDefault="0033131C" w:rsidP="19C8347C">
            <w:pPr>
              <w:rPr>
                <w:sz w:val="18"/>
                <w:szCs w:val="18"/>
              </w:rPr>
            </w:pPr>
            <w:r w:rsidRPr="005C6ADF">
              <w:rPr>
                <w:sz w:val="18"/>
                <w:szCs w:val="18"/>
              </w:rPr>
              <w:t>98; 1.1 (1.1)</w:t>
            </w:r>
          </w:p>
        </w:tc>
        <w:tc>
          <w:tcPr>
            <w:tcW w:w="1263" w:type="dxa"/>
          </w:tcPr>
          <w:p w14:paraId="0E1491DC" w14:textId="3414CFA8" w:rsidR="006C13C9" w:rsidRPr="005C6ADF" w:rsidRDefault="0033131C" w:rsidP="19C8347C">
            <w:pPr>
              <w:rPr>
                <w:sz w:val="18"/>
                <w:szCs w:val="18"/>
              </w:rPr>
            </w:pPr>
            <w:r w:rsidRPr="005C6ADF">
              <w:rPr>
                <w:sz w:val="18"/>
                <w:szCs w:val="18"/>
              </w:rPr>
              <w:t>114; 1.7 (1.5)</w:t>
            </w:r>
          </w:p>
        </w:tc>
        <w:tc>
          <w:tcPr>
            <w:tcW w:w="1263" w:type="dxa"/>
          </w:tcPr>
          <w:p w14:paraId="462C70AD" w14:textId="58F580B1" w:rsidR="006C13C9" w:rsidRPr="005C6ADF" w:rsidRDefault="0033131C" w:rsidP="19C8347C">
            <w:pPr>
              <w:rPr>
                <w:sz w:val="18"/>
                <w:szCs w:val="18"/>
              </w:rPr>
            </w:pPr>
            <w:r w:rsidRPr="005C6ADF">
              <w:rPr>
                <w:sz w:val="18"/>
                <w:szCs w:val="18"/>
              </w:rPr>
              <w:t>107; 1.3 (1.2)</w:t>
            </w:r>
          </w:p>
        </w:tc>
        <w:tc>
          <w:tcPr>
            <w:tcW w:w="1262" w:type="dxa"/>
          </w:tcPr>
          <w:p w14:paraId="31EB68D3" w14:textId="6749E249" w:rsidR="006C13C9" w:rsidRPr="005C6ADF" w:rsidRDefault="0033131C" w:rsidP="19C8347C">
            <w:pPr>
              <w:rPr>
                <w:sz w:val="18"/>
                <w:szCs w:val="18"/>
              </w:rPr>
            </w:pPr>
            <w:r w:rsidRPr="005C6ADF">
              <w:rPr>
                <w:sz w:val="18"/>
                <w:szCs w:val="18"/>
              </w:rPr>
              <w:t>88; 1.0 (1.1)</w:t>
            </w:r>
          </w:p>
        </w:tc>
        <w:tc>
          <w:tcPr>
            <w:tcW w:w="1263" w:type="dxa"/>
          </w:tcPr>
          <w:p w14:paraId="2F214789" w14:textId="553841AD" w:rsidR="006C13C9" w:rsidRPr="005C6ADF" w:rsidRDefault="0033131C" w:rsidP="19C8347C">
            <w:pPr>
              <w:rPr>
                <w:sz w:val="18"/>
                <w:szCs w:val="18"/>
              </w:rPr>
            </w:pPr>
            <w:r w:rsidRPr="005C6ADF">
              <w:rPr>
                <w:sz w:val="18"/>
                <w:szCs w:val="18"/>
              </w:rPr>
              <w:t>105; 0.6 (0.6)</w:t>
            </w:r>
          </w:p>
        </w:tc>
        <w:tc>
          <w:tcPr>
            <w:tcW w:w="1263" w:type="dxa"/>
          </w:tcPr>
          <w:p w14:paraId="31EFE806" w14:textId="1AD9F430" w:rsidR="006C13C9" w:rsidRPr="005C6ADF" w:rsidRDefault="0033131C" w:rsidP="19C8347C">
            <w:pPr>
              <w:rPr>
                <w:sz w:val="18"/>
                <w:szCs w:val="18"/>
              </w:rPr>
            </w:pPr>
            <w:r w:rsidRPr="005C6ADF">
              <w:rPr>
                <w:sz w:val="18"/>
                <w:szCs w:val="18"/>
              </w:rPr>
              <w:t>95; 1.5 (1.6)</w:t>
            </w:r>
          </w:p>
        </w:tc>
      </w:tr>
      <w:tr w:rsidR="006C13C9" w14:paraId="7E31CEA5" w14:textId="5BA50518" w:rsidTr="00214A63">
        <w:tc>
          <w:tcPr>
            <w:tcW w:w="1440" w:type="dxa"/>
          </w:tcPr>
          <w:p w14:paraId="756A1786" w14:textId="6092750B" w:rsidR="006C13C9" w:rsidRPr="005C6ADF" w:rsidRDefault="006C13C9" w:rsidP="00DD1F8C">
            <w:pPr>
              <w:rPr>
                <w:sz w:val="18"/>
                <w:szCs w:val="18"/>
              </w:rPr>
            </w:pPr>
            <w:r w:rsidRPr="005C6ADF">
              <w:rPr>
                <w:sz w:val="18"/>
                <w:szCs w:val="18"/>
              </w:rPr>
              <w:t xml:space="preserve">Pizza Hut Hawaiian </w:t>
            </w:r>
            <w:r w:rsidR="00A26BB3" w:rsidRPr="005C6ADF">
              <w:rPr>
                <w:sz w:val="18"/>
                <w:szCs w:val="18"/>
              </w:rPr>
              <w:t>Pizza</w:t>
            </w:r>
          </w:p>
        </w:tc>
        <w:tc>
          <w:tcPr>
            <w:tcW w:w="1262" w:type="dxa"/>
          </w:tcPr>
          <w:p w14:paraId="02156120" w14:textId="4129FC25" w:rsidR="006C13C9" w:rsidRPr="005C6ADF" w:rsidRDefault="0033131C" w:rsidP="19C8347C">
            <w:pPr>
              <w:rPr>
                <w:sz w:val="18"/>
                <w:szCs w:val="18"/>
              </w:rPr>
            </w:pPr>
            <w:r w:rsidRPr="005C6ADF">
              <w:rPr>
                <w:sz w:val="18"/>
                <w:szCs w:val="18"/>
              </w:rPr>
              <w:t>88; 1.3 (1.5)</w:t>
            </w:r>
          </w:p>
        </w:tc>
        <w:tc>
          <w:tcPr>
            <w:tcW w:w="1263" w:type="dxa"/>
          </w:tcPr>
          <w:p w14:paraId="093BBC67" w14:textId="04FA39AC" w:rsidR="006C13C9" w:rsidRPr="005C6ADF" w:rsidRDefault="0033131C" w:rsidP="19C8347C">
            <w:pPr>
              <w:rPr>
                <w:sz w:val="18"/>
                <w:szCs w:val="18"/>
              </w:rPr>
            </w:pPr>
            <w:r w:rsidRPr="005C6ADF">
              <w:rPr>
                <w:sz w:val="18"/>
                <w:szCs w:val="18"/>
              </w:rPr>
              <w:t>84; 1.0 (1.1)</w:t>
            </w:r>
          </w:p>
        </w:tc>
        <w:tc>
          <w:tcPr>
            <w:tcW w:w="1263" w:type="dxa"/>
          </w:tcPr>
          <w:p w14:paraId="53B7829A" w14:textId="4906D6A5" w:rsidR="006C13C9" w:rsidRPr="005C6ADF" w:rsidRDefault="0033131C" w:rsidP="19C8347C">
            <w:pPr>
              <w:rPr>
                <w:sz w:val="18"/>
                <w:szCs w:val="18"/>
              </w:rPr>
            </w:pPr>
            <w:proofErr w:type="spellStart"/>
            <w:r w:rsidRPr="005C6ADF">
              <w:rPr>
                <w:sz w:val="18"/>
                <w:szCs w:val="18"/>
              </w:rPr>
              <w:t>na</w:t>
            </w:r>
            <w:proofErr w:type="spellEnd"/>
          </w:p>
        </w:tc>
        <w:tc>
          <w:tcPr>
            <w:tcW w:w="1262" w:type="dxa"/>
          </w:tcPr>
          <w:p w14:paraId="421A2DD8" w14:textId="4209706F" w:rsidR="006C13C9" w:rsidRPr="005C6ADF" w:rsidRDefault="0033131C" w:rsidP="19C8347C">
            <w:pPr>
              <w:rPr>
                <w:sz w:val="18"/>
                <w:szCs w:val="18"/>
              </w:rPr>
            </w:pPr>
            <w:r w:rsidRPr="005C6ADF">
              <w:rPr>
                <w:sz w:val="18"/>
                <w:szCs w:val="18"/>
              </w:rPr>
              <w:t>82; 1.1 (1.3)</w:t>
            </w:r>
          </w:p>
        </w:tc>
        <w:tc>
          <w:tcPr>
            <w:tcW w:w="1263" w:type="dxa"/>
          </w:tcPr>
          <w:p w14:paraId="015D9535" w14:textId="70AE9270" w:rsidR="006C13C9" w:rsidRPr="005C6ADF" w:rsidRDefault="0033131C" w:rsidP="19C8347C">
            <w:pPr>
              <w:rPr>
                <w:sz w:val="18"/>
                <w:szCs w:val="18"/>
              </w:rPr>
            </w:pPr>
            <w:r w:rsidRPr="005C6ADF">
              <w:rPr>
                <w:sz w:val="18"/>
                <w:szCs w:val="18"/>
              </w:rPr>
              <w:t>73; 0.8 (1.1)</w:t>
            </w:r>
          </w:p>
        </w:tc>
        <w:tc>
          <w:tcPr>
            <w:tcW w:w="1263" w:type="dxa"/>
          </w:tcPr>
          <w:p w14:paraId="64C15E88" w14:textId="74386224" w:rsidR="006C13C9" w:rsidRPr="005C6ADF" w:rsidRDefault="0033131C" w:rsidP="19C8347C">
            <w:pPr>
              <w:rPr>
                <w:sz w:val="18"/>
                <w:szCs w:val="18"/>
              </w:rPr>
            </w:pPr>
            <w:r w:rsidRPr="005C6ADF">
              <w:rPr>
                <w:sz w:val="18"/>
                <w:szCs w:val="18"/>
              </w:rPr>
              <w:t>102; 1.5 (1.5)</w:t>
            </w:r>
          </w:p>
        </w:tc>
      </w:tr>
      <w:tr w:rsidR="006C13C9" w:rsidRPr="005C6ADF" w14:paraId="497F834F" w14:textId="69546810" w:rsidTr="00214A63">
        <w:tc>
          <w:tcPr>
            <w:tcW w:w="1440" w:type="dxa"/>
          </w:tcPr>
          <w:p w14:paraId="4D9CDAC7" w14:textId="14F3493F" w:rsidR="006C13C9" w:rsidRPr="005C6ADF" w:rsidRDefault="006C13C9" w:rsidP="00DD1F8C">
            <w:pPr>
              <w:rPr>
                <w:sz w:val="18"/>
                <w:szCs w:val="18"/>
              </w:rPr>
            </w:pPr>
            <w:r w:rsidRPr="005C6ADF">
              <w:rPr>
                <w:sz w:val="18"/>
                <w:szCs w:val="18"/>
              </w:rPr>
              <w:t xml:space="preserve">Subway Club </w:t>
            </w:r>
            <w:r w:rsidR="00A26BB3" w:rsidRPr="005C6ADF">
              <w:rPr>
                <w:sz w:val="18"/>
                <w:szCs w:val="18"/>
              </w:rPr>
              <w:t>Sandwich</w:t>
            </w:r>
          </w:p>
        </w:tc>
        <w:tc>
          <w:tcPr>
            <w:tcW w:w="1262" w:type="dxa"/>
          </w:tcPr>
          <w:p w14:paraId="1581EFE5" w14:textId="301E56F5" w:rsidR="006C13C9" w:rsidRPr="005C6ADF" w:rsidRDefault="0033131C" w:rsidP="19C8347C">
            <w:pPr>
              <w:rPr>
                <w:sz w:val="18"/>
                <w:szCs w:val="18"/>
              </w:rPr>
            </w:pPr>
            <w:r w:rsidRPr="005C6ADF">
              <w:rPr>
                <w:sz w:val="18"/>
                <w:szCs w:val="18"/>
              </w:rPr>
              <w:t>212; 1.8 (0.9)</w:t>
            </w:r>
          </w:p>
        </w:tc>
        <w:tc>
          <w:tcPr>
            <w:tcW w:w="1263" w:type="dxa"/>
          </w:tcPr>
          <w:p w14:paraId="34DCD160" w14:textId="4193A708" w:rsidR="006C13C9" w:rsidRPr="005C6ADF" w:rsidRDefault="0033131C" w:rsidP="19C8347C">
            <w:pPr>
              <w:rPr>
                <w:sz w:val="18"/>
                <w:szCs w:val="18"/>
              </w:rPr>
            </w:pPr>
            <w:r w:rsidRPr="005C6ADF">
              <w:rPr>
                <w:sz w:val="18"/>
                <w:szCs w:val="18"/>
              </w:rPr>
              <w:t>240; 2.7 (1.1)</w:t>
            </w:r>
          </w:p>
        </w:tc>
        <w:tc>
          <w:tcPr>
            <w:tcW w:w="1263" w:type="dxa"/>
          </w:tcPr>
          <w:p w14:paraId="165917A9" w14:textId="63BC0A8C" w:rsidR="006C13C9" w:rsidRPr="005C6ADF" w:rsidRDefault="00876242" w:rsidP="19C8347C">
            <w:pPr>
              <w:rPr>
                <w:sz w:val="18"/>
                <w:szCs w:val="18"/>
              </w:rPr>
            </w:pPr>
            <w:r w:rsidRPr="005C6ADF">
              <w:rPr>
                <w:sz w:val="18"/>
                <w:szCs w:val="18"/>
              </w:rPr>
              <w:t>238; 1.3 (0.5)</w:t>
            </w:r>
          </w:p>
        </w:tc>
        <w:tc>
          <w:tcPr>
            <w:tcW w:w="1262" w:type="dxa"/>
          </w:tcPr>
          <w:p w14:paraId="72ED6251" w14:textId="27E94646" w:rsidR="006C13C9" w:rsidRPr="005C6ADF" w:rsidRDefault="00876242" w:rsidP="19C8347C">
            <w:pPr>
              <w:rPr>
                <w:sz w:val="18"/>
                <w:szCs w:val="18"/>
              </w:rPr>
            </w:pPr>
            <w:r w:rsidRPr="005C6ADF">
              <w:rPr>
                <w:sz w:val="18"/>
                <w:szCs w:val="18"/>
              </w:rPr>
              <w:t>220; 2.7 (1.2)</w:t>
            </w:r>
          </w:p>
        </w:tc>
        <w:tc>
          <w:tcPr>
            <w:tcW w:w="1263" w:type="dxa"/>
          </w:tcPr>
          <w:p w14:paraId="17E1B8E9" w14:textId="451A709D" w:rsidR="006C13C9" w:rsidRPr="005C6ADF" w:rsidRDefault="00876242" w:rsidP="19C8347C">
            <w:pPr>
              <w:rPr>
                <w:sz w:val="18"/>
                <w:szCs w:val="18"/>
              </w:rPr>
            </w:pPr>
            <w:r w:rsidRPr="005C6ADF">
              <w:rPr>
                <w:sz w:val="18"/>
                <w:szCs w:val="18"/>
              </w:rPr>
              <w:t>254; 2.3 (0.9)</w:t>
            </w:r>
          </w:p>
        </w:tc>
        <w:tc>
          <w:tcPr>
            <w:tcW w:w="1263" w:type="dxa"/>
          </w:tcPr>
          <w:p w14:paraId="662913CA" w14:textId="171A5745" w:rsidR="006C13C9" w:rsidRPr="005C6ADF" w:rsidRDefault="00876242" w:rsidP="19C8347C">
            <w:pPr>
              <w:rPr>
                <w:sz w:val="18"/>
                <w:szCs w:val="18"/>
              </w:rPr>
            </w:pPr>
            <w:r w:rsidRPr="005C6ADF">
              <w:rPr>
                <w:sz w:val="18"/>
                <w:szCs w:val="18"/>
              </w:rPr>
              <w:t>247; 2.9 (1.2)</w:t>
            </w:r>
          </w:p>
        </w:tc>
      </w:tr>
    </w:tbl>
    <w:p w14:paraId="1F0848A3" w14:textId="7F90B05E" w:rsidR="00DD1F8C" w:rsidRPr="005C6ADF" w:rsidRDefault="005C6ADF" w:rsidP="19C8347C">
      <w:pPr>
        <w:rPr>
          <w:sz w:val="18"/>
          <w:szCs w:val="18"/>
        </w:rPr>
      </w:pPr>
      <w:r w:rsidRPr="005C6ADF">
        <w:rPr>
          <w:sz w:val="18"/>
          <w:szCs w:val="18"/>
        </w:rPr>
        <w:t xml:space="preserve">* </w:t>
      </w:r>
      <w:proofErr w:type="gramStart"/>
      <w:r w:rsidRPr="005C6ADF">
        <w:rPr>
          <w:sz w:val="18"/>
          <w:szCs w:val="18"/>
        </w:rPr>
        <w:t>known</w:t>
      </w:r>
      <w:proofErr w:type="gramEnd"/>
      <w:r w:rsidRPr="005C6ADF">
        <w:rPr>
          <w:sz w:val="18"/>
          <w:szCs w:val="18"/>
        </w:rPr>
        <w:t xml:space="preserve"> as “Hungry Jacks” in Australia</w:t>
      </w:r>
    </w:p>
    <w:p w14:paraId="736A6A05" w14:textId="3A6C9D4A" w:rsidR="6A5624FC" w:rsidRPr="005D08FC" w:rsidRDefault="005D08FC" w:rsidP="19C8347C">
      <w:r>
        <w:t>Another product category not currently under consideration in the Healthy Food Partnership is p</w:t>
      </w:r>
      <w:r w:rsidR="004D28DA">
        <w:t>lant-based meat alternatives</w:t>
      </w:r>
      <w:r>
        <w:t>. This</w:t>
      </w:r>
      <w:r w:rsidR="6A5624FC" w:rsidRPr="005D08FC">
        <w:t xml:space="preserve"> food category </w:t>
      </w:r>
      <w:r w:rsidR="4451FF80">
        <w:t>has grown in popu</w:t>
      </w:r>
      <w:r>
        <w:t>larity and range in recent years</w:t>
      </w:r>
      <w:r w:rsidR="01685217">
        <w:t xml:space="preserve">. </w:t>
      </w:r>
      <w:r>
        <w:t>According to</w:t>
      </w:r>
      <w:r w:rsidR="01685217">
        <w:t xml:space="preserve"> analysis by</w:t>
      </w:r>
      <w:r w:rsidR="67F4EBEC">
        <w:t xml:space="preserve"> the </w:t>
      </w:r>
      <w:r w:rsidR="00365A32">
        <w:t>George Institute for Global Health</w:t>
      </w:r>
      <w:r w:rsidR="00365A32">
        <w:rPr>
          <w:rStyle w:val="FootnoteReference"/>
        </w:rPr>
        <w:footnoteReference w:id="173"/>
      </w:r>
      <w:r>
        <w:t>,</w:t>
      </w:r>
      <w:r w:rsidR="2BFD5732">
        <w:t xml:space="preserve"> </w:t>
      </w:r>
      <w:r w:rsidR="380F84F9">
        <w:t xml:space="preserve">there </w:t>
      </w:r>
      <w:r w:rsidR="48C1B365">
        <w:t>w</w:t>
      </w:r>
      <w:r w:rsidR="380F84F9">
        <w:t xml:space="preserve">as a 153% increase in the number of these products </w:t>
      </w:r>
      <w:r w:rsidR="3337E330">
        <w:t xml:space="preserve">available in Australia </w:t>
      </w:r>
      <w:r w:rsidR="380F84F9">
        <w:t>between 2010 to 2019, particularly falafels (380% increase), meat-free</w:t>
      </w:r>
      <w:r w:rsidR="67F4EBEC">
        <w:t xml:space="preserve"> </w:t>
      </w:r>
      <w:r w:rsidR="5CB3461D">
        <w:t xml:space="preserve">burgers (289% increase) and other meat-free products (187% increase). No </w:t>
      </w:r>
      <w:r w:rsidR="3E51B05D">
        <w:t xml:space="preserve">sodium </w:t>
      </w:r>
      <w:r w:rsidR="5CB3461D">
        <w:t xml:space="preserve">reformulation was observed in this food category with </w:t>
      </w:r>
      <w:r w:rsidR="3B953E84">
        <w:lastRenderedPageBreak/>
        <w:t xml:space="preserve">average </w:t>
      </w:r>
      <w:r w:rsidR="5CB3461D">
        <w:t>sod</w:t>
      </w:r>
      <w:r w:rsidR="27B0285F">
        <w:t>i</w:t>
      </w:r>
      <w:r w:rsidR="5CB3461D">
        <w:t xml:space="preserve">um content </w:t>
      </w:r>
      <w:r w:rsidR="00623130">
        <w:t>remaining stable between 2010 and</w:t>
      </w:r>
      <w:r w:rsidR="4D24F7D5">
        <w:t xml:space="preserve"> 2019. When compared to sodium targets from the United Kingdom</w:t>
      </w:r>
      <w:r w:rsidR="0CE132E9">
        <w:t xml:space="preserve">, 68% of meat-alternatives </w:t>
      </w:r>
      <w:r w:rsidR="1F77BB3F">
        <w:t xml:space="preserve">available in Australia </w:t>
      </w:r>
      <w:r w:rsidR="0CE132E9">
        <w:t>met the United Kingdom sodium targets. When analysed by category</w:t>
      </w:r>
      <w:r w:rsidR="6B0ADA1A">
        <w:t>,</w:t>
      </w:r>
      <w:r w:rsidR="0CE132E9">
        <w:t xml:space="preserve"> 83% of plain meat alternatives, 65% of other meat</w:t>
      </w:r>
      <w:r w:rsidR="792D4EA7">
        <w:t>-free products</w:t>
      </w:r>
      <w:r w:rsidR="344D2BEF">
        <w:t>,</w:t>
      </w:r>
      <w:r w:rsidR="792D4EA7">
        <w:t xml:space="preserve"> and 50% of meat-free </w:t>
      </w:r>
      <w:r w:rsidR="00365A32">
        <w:t xml:space="preserve">bacon met United Kingdom sodium reduction </w:t>
      </w:r>
      <w:r w:rsidR="792D4EA7">
        <w:t xml:space="preserve">targets. </w:t>
      </w:r>
      <w:r w:rsidR="285D157B">
        <w:t xml:space="preserve">This analysis also identified wide variation in </w:t>
      </w:r>
      <w:r w:rsidR="05FBF2BD">
        <w:t xml:space="preserve">sodium content within particular types of </w:t>
      </w:r>
      <w:r w:rsidR="285D157B">
        <w:t>meat-alternatives</w:t>
      </w:r>
      <w:r w:rsidR="77908ABA">
        <w:t xml:space="preserve"> </w:t>
      </w:r>
      <w:r w:rsidR="4B187273">
        <w:t>(</w:t>
      </w:r>
      <w:proofErr w:type="gramStart"/>
      <w:r w:rsidR="4B187273">
        <w:t>e.g.</w:t>
      </w:r>
      <w:proofErr w:type="gramEnd"/>
      <w:r w:rsidR="4B187273">
        <w:t xml:space="preserve"> falafels, tofu etc) </w:t>
      </w:r>
      <w:r w:rsidR="285D157B">
        <w:t xml:space="preserve">and recommended sodium reformulation targets be established to encourage industry to reformulate products. </w:t>
      </w:r>
    </w:p>
    <w:p w14:paraId="6428D8C6" w14:textId="2A8C1464" w:rsidR="005D08FC" w:rsidRDefault="005D052D" w:rsidP="003B5E2D">
      <w:pPr>
        <w:pStyle w:val="Heading4"/>
      </w:pPr>
      <w:r w:rsidRPr="00F56038">
        <w:rPr>
          <w:rStyle w:val="Heading5Char"/>
        </w:rPr>
        <w:t>Conclusion</w:t>
      </w:r>
      <w:r w:rsidR="00DB2B04">
        <w:t xml:space="preserve"> </w:t>
      </w:r>
    </w:p>
    <w:p w14:paraId="02C31F2A" w14:textId="571A4CD4" w:rsidR="005D08FC" w:rsidRDefault="005D08FC" w:rsidP="00DB2B04">
      <w:r>
        <w:t>Given the major international focu</w:t>
      </w:r>
      <w:r w:rsidR="00B02BBE">
        <w:t xml:space="preserve">s on salt/sodium reformulation </w:t>
      </w:r>
      <w:r>
        <w:t>and WHO global target for a 30% reduction in mean population salt/sodium intakes</w:t>
      </w:r>
      <w:r w:rsidR="00B02BBE">
        <w:t>,</w:t>
      </w:r>
      <w:r>
        <w:t xml:space="preserve"> it is positive </w:t>
      </w:r>
      <w:r w:rsidR="006668E1">
        <w:t>that</w:t>
      </w:r>
      <w:r>
        <w:t xml:space="preserve"> the Healthy Food Partnership and New Zealand food reformulation activities have a major focus on sodium. </w:t>
      </w:r>
    </w:p>
    <w:p w14:paraId="3C1B66F6" w14:textId="7ABA8AC7" w:rsidR="005D052D" w:rsidRDefault="00C0626B" w:rsidP="00DB2B04">
      <w:r>
        <w:t xml:space="preserve">It </w:t>
      </w:r>
      <w:r w:rsidR="005D052D" w:rsidRPr="00C0626B">
        <w:t xml:space="preserve">is recommended that time be allowed to observe the </w:t>
      </w:r>
      <w:r>
        <w:t>impact and effectiveness of</w:t>
      </w:r>
      <w:r w:rsidR="005D052D" w:rsidRPr="00C0626B">
        <w:t xml:space="preserve"> voluntary </w:t>
      </w:r>
      <w:r>
        <w:t xml:space="preserve">sodium </w:t>
      </w:r>
      <w:r w:rsidR="005D052D" w:rsidRPr="00C0626B">
        <w:t xml:space="preserve">reformulation activities Australia and New Zealand before any additional actions are taken to reduce sodium content of foods </w:t>
      </w:r>
      <w:r w:rsidRPr="005E20AD">
        <w:t xml:space="preserve">already </w:t>
      </w:r>
      <w:r w:rsidR="005D052D" w:rsidRPr="005E20AD">
        <w:t>sub</w:t>
      </w:r>
      <w:r w:rsidR="004B674E" w:rsidRPr="005E20AD">
        <w:t xml:space="preserve">ject to reformulation targets. </w:t>
      </w:r>
      <w:r w:rsidR="00BA3120" w:rsidRPr="005E20AD">
        <w:rPr>
          <w:rStyle w:val="Heading4Char"/>
          <w:rFonts w:ascii="Times New Roman" w:eastAsiaTheme="minorEastAsia" w:hAnsi="Times New Roman" w:cs="Times New Roman"/>
          <w:i w:val="0"/>
          <w:iCs w:val="0"/>
          <w:color w:val="auto"/>
        </w:rPr>
        <w:t xml:space="preserve">It is recommended that progress against reformulation targets be assessed in 2 years to determine whether industry is on track to achieve the targets or whether there are </w:t>
      </w:r>
      <w:proofErr w:type="gramStart"/>
      <w:r w:rsidR="00BA3120" w:rsidRPr="005E20AD">
        <w:rPr>
          <w:rStyle w:val="Heading4Char"/>
          <w:rFonts w:ascii="Times New Roman" w:eastAsiaTheme="minorEastAsia" w:hAnsi="Times New Roman" w:cs="Times New Roman"/>
          <w:i w:val="0"/>
          <w:iCs w:val="0"/>
          <w:color w:val="auto"/>
        </w:rPr>
        <w:t>particular product</w:t>
      </w:r>
      <w:proofErr w:type="gramEnd"/>
      <w:r w:rsidR="00BA3120" w:rsidRPr="005E20AD">
        <w:rPr>
          <w:rStyle w:val="Heading4Char"/>
          <w:rFonts w:ascii="Times New Roman" w:eastAsiaTheme="minorEastAsia" w:hAnsi="Times New Roman" w:cs="Times New Roman"/>
          <w:i w:val="0"/>
          <w:iCs w:val="0"/>
          <w:color w:val="auto"/>
        </w:rPr>
        <w:t xml:space="preserve"> categories </w:t>
      </w:r>
      <w:r w:rsidR="00D97F87" w:rsidRPr="005E20AD">
        <w:rPr>
          <w:rStyle w:val="Heading4Char"/>
          <w:rFonts w:ascii="Times New Roman" w:eastAsiaTheme="minorEastAsia" w:hAnsi="Times New Roman" w:cs="Times New Roman"/>
          <w:i w:val="0"/>
          <w:iCs w:val="0"/>
          <w:color w:val="auto"/>
        </w:rPr>
        <w:t>where industry’s response is insufficient or ineffective</w:t>
      </w:r>
      <w:r w:rsidR="00BA3120" w:rsidRPr="005E20AD">
        <w:rPr>
          <w:rStyle w:val="Heading4Char"/>
          <w:rFonts w:ascii="Times New Roman" w:eastAsiaTheme="minorEastAsia" w:hAnsi="Times New Roman" w:cs="Times New Roman"/>
          <w:i w:val="0"/>
          <w:iCs w:val="0"/>
          <w:color w:val="auto"/>
        </w:rPr>
        <w:t>.</w:t>
      </w:r>
    </w:p>
    <w:p w14:paraId="03BDE315" w14:textId="15F70374" w:rsidR="005D052D" w:rsidRPr="00811E03" w:rsidRDefault="00C0626B" w:rsidP="00DB2B04">
      <w:r>
        <w:t>However, this report has identified gaps in the coverage of the voluntary sodium reformulation activities. While reformulation targets for sodium have been agreed for foods such as pizza, burger patties and nuggets,</w:t>
      </w:r>
      <w:r w:rsidRPr="00C0626B">
        <w:t xml:space="preserve"> </w:t>
      </w:r>
      <w:r>
        <w:t>this does not apply to foods sold through fa</w:t>
      </w:r>
      <w:r w:rsidR="005756C2">
        <w:t>s</w:t>
      </w:r>
      <w:r>
        <w:t xml:space="preserve">t-food/quick-service venues. </w:t>
      </w:r>
      <w:r w:rsidR="61E508A2" w:rsidRPr="00C0626B">
        <w:t>T</w:t>
      </w:r>
      <w:r w:rsidR="005D052D" w:rsidRPr="00C0626B">
        <w:t xml:space="preserve">here is room for improvement in </w:t>
      </w:r>
      <w:r>
        <w:t>this</w:t>
      </w:r>
      <w:r w:rsidR="005D052D" w:rsidRPr="00C0626B">
        <w:t xml:space="preserve"> industry </w:t>
      </w:r>
      <w:r>
        <w:t xml:space="preserve">sector </w:t>
      </w:r>
      <w:r w:rsidR="005D052D" w:rsidRPr="00C0626B">
        <w:t>to reduce the sodium content of foods such as nuggets, pizzas, burgers and</w:t>
      </w:r>
      <w:r w:rsidR="005D052D">
        <w:t xml:space="preserve"> fries.</w:t>
      </w:r>
      <w:r>
        <w:t xml:space="preserve"> While it is possible that reformulation to reduce the sodium content of supermarket products may flow through to the fast-food/quick service sector if the same supplier provides items such as </w:t>
      </w:r>
      <w:r w:rsidRPr="00811E03">
        <w:t>breads, nuggets and pizzas etc.</w:t>
      </w:r>
      <w:r w:rsidR="005D052D" w:rsidRPr="00811E03">
        <w:t xml:space="preserve">, </w:t>
      </w:r>
      <w:r w:rsidRPr="00811E03">
        <w:t>the fast-food/quick service sector</w:t>
      </w:r>
      <w:r w:rsidR="00DB2B04" w:rsidRPr="00811E03">
        <w:t xml:space="preserve"> is a potential focus for further actions to improve the composition of the food supply. </w:t>
      </w:r>
    </w:p>
    <w:p w14:paraId="2B1463BD" w14:textId="6AF96C6E" w:rsidR="00C0626B" w:rsidRPr="005E20AD" w:rsidRDefault="00C0626B" w:rsidP="00DB2B04">
      <w:r w:rsidRPr="00811E03">
        <w:t xml:space="preserve">In the first instance, it is recommended that the Healthy Food Partnership and New Zealand reformulation activities establish </w:t>
      </w:r>
      <w:r w:rsidR="00811E03" w:rsidRPr="00811E03">
        <w:t xml:space="preserve">voluntary </w:t>
      </w:r>
      <w:r w:rsidRPr="00811E03">
        <w:t xml:space="preserve">sodium reformulation targets for the fast-food/quick service sector. </w:t>
      </w:r>
      <w:r w:rsidR="00811E03">
        <w:t xml:space="preserve">A second priority is for voluntary sodium </w:t>
      </w:r>
      <w:r w:rsidR="00811E03" w:rsidRPr="005E20AD">
        <w:t xml:space="preserve">reformulation targets to be established for meat-alternatives. </w:t>
      </w:r>
      <w:r w:rsidRPr="005E20AD">
        <w:t xml:space="preserve">If </w:t>
      </w:r>
      <w:r w:rsidR="00811E03" w:rsidRPr="005E20AD">
        <w:t>in</w:t>
      </w:r>
      <w:r w:rsidRPr="005E20AD">
        <w:t xml:space="preserve">sufficient uptake or progress is not achieved </w:t>
      </w:r>
      <w:r w:rsidR="00346474" w:rsidRPr="005E20AD">
        <w:t xml:space="preserve">within 2 </w:t>
      </w:r>
      <w:proofErr w:type="gramStart"/>
      <w:r w:rsidR="00346474" w:rsidRPr="005E20AD">
        <w:t>years</w:t>
      </w:r>
      <w:proofErr w:type="gramEnd"/>
      <w:r w:rsidR="00346474" w:rsidRPr="005E20AD">
        <w:t xml:space="preserve"> </w:t>
      </w:r>
      <w:r w:rsidRPr="005E20AD">
        <w:t xml:space="preserve">then actions to introduce mandatory compositional limits in this sector should be considered. </w:t>
      </w:r>
    </w:p>
    <w:p w14:paraId="0020731E" w14:textId="4341B65F" w:rsidR="00FD69B8" w:rsidRDefault="00FE7426" w:rsidP="003B5E2D">
      <w:pPr>
        <w:pStyle w:val="Heading3"/>
      </w:pPr>
      <w:bookmarkStart w:id="78" w:name="_Toc54273232"/>
      <w:bookmarkStart w:id="79" w:name="_Toc49506071"/>
      <w:bookmarkStart w:id="80" w:name="_Toc49506919"/>
      <w:r>
        <w:t xml:space="preserve">Positive </w:t>
      </w:r>
      <w:r w:rsidR="00970D0F">
        <w:t>foods</w:t>
      </w:r>
      <w:bookmarkEnd w:id="78"/>
      <w:r w:rsidR="00970D0F">
        <w:t xml:space="preserve"> </w:t>
      </w:r>
      <w:bookmarkEnd w:id="79"/>
      <w:bookmarkEnd w:id="80"/>
    </w:p>
    <w:p w14:paraId="45BA60F0" w14:textId="49C0B379" w:rsidR="00FE7426" w:rsidRPr="005E20AD" w:rsidRDefault="0E9CC7CD" w:rsidP="00FE7426">
      <w:r>
        <w:t>A</w:t>
      </w:r>
      <w:r w:rsidR="00FE7426">
        <w:t xml:space="preserve">n article recently published in </w:t>
      </w:r>
      <w:r w:rsidR="00FE7426" w:rsidRPr="3427A3ED">
        <w:rPr>
          <w:i/>
          <w:iCs/>
        </w:rPr>
        <w:t>The Lancet</w:t>
      </w:r>
      <w:r w:rsidR="00FE7426" w:rsidRPr="3427A3ED">
        <w:rPr>
          <w:rStyle w:val="FootnoteReference"/>
          <w:i/>
          <w:iCs/>
        </w:rPr>
        <w:footnoteReference w:id="174"/>
      </w:r>
      <w:r w:rsidR="00FE7426">
        <w:t xml:space="preserve"> suggested that</w:t>
      </w:r>
      <w:r w:rsidR="00FE7426" w:rsidRPr="006F2C1D">
        <w:t xml:space="preserve"> dietary polices focusing on promoting </w:t>
      </w:r>
      <w:r w:rsidR="00FE7426" w:rsidRPr="005E20AD">
        <w:t>intake of positive components of diet for which current intake is less than optimal might have a greater effect</w:t>
      </w:r>
      <w:r w:rsidR="00C45503" w:rsidRPr="005E20AD">
        <w:t xml:space="preserve"> than</w:t>
      </w:r>
      <w:r w:rsidR="00FE7426" w:rsidRPr="005E20AD">
        <w:t xml:space="preserve"> policies only targeting sugar and fat.</w:t>
      </w:r>
    </w:p>
    <w:p w14:paraId="63AA465A" w14:textId="5BF2B750" w:rsidR="18D046AB" w:rsidRPr="005E20AD" w:rsidRDefault="006668E1" w:rsidP="7433B3D5">
      <w:r w:rsidRPr="005E20AD">
        <w:t>I</w:t>
      </w:r>
      <w:r w:rsidR="1E11B65E" w:rsidRPr="005E20AD">
        <w:t>n 2017</w:t>
      </w:r>
      <w:r w:rsidR="00D714A5" w:rsidRPr="005E20AD">
        <w:t>,</w:t>
      </w:r>
      <w:r w:rsidR="1E11B65E" w:rsidRPr="005E20AD">
        <w:t xml:space="preserve"> </w:t>
      </w:r>
      <w:r w:rsidR="7781CCFD" w:rsidRPr="005E20AD">
        <w:t xml:space="preserve">a </w:t>
      </w:r>
      <w:r w:rsidR="18D046AB" w:rsidRPr="005E20AD">
        <w:t xml:space="preserve">diet low in whole-grains </w:t>
      </w:r>
      <w:r w:rsidR="7DD2BFC3" w:rsidRPr="005E20AD">
        <w:t>wa</w:t>
      </w:r>
      <w:r w:rsidR="18D046AB" w:rsidRPr="005E20AD">
        <w:t>s the leading dietary-risk factor for total burden of disease</w:t>
      </w:r>
      <w:r w:rsidR="00616154" w:rsidRPr="005E20AD">
        <w:t xml:space="preserve"> for both Australia and New Zealand. In Australia,</w:t>
      </w:r>
      <w:r w:rsidR="44B87369" w:rsidRPr="005E20AD">
        <w:t xml:space="preserve"> </w:t>
      </w:r>
      <w:r w:rsidR="4FAF505D" w:rsidRPr="005E20AD">
        <w:t xml:space="preserve">the associated </w:t>
      </w:r>
      <w:r w:rsidR="44B87369" w:rsidRPr="005E20AD">
        <w:t xml:space="preserve">burden of disease </w:t>
      </w:r>
      <w:r w:rsidR="25EE537E" w:rsidRPr="005E20AD">
        <w:t xml:space="preserve">was </w:t>
      </w:r>
      <w:r w:rsidR="44B87369" w:rsidRPr="005E20AD">
        <w:t>2.</w:t>
      </w:r>
      <w:r w:rsidR="00EF36F3" w:rsidRPr="005E20AD">
        <w:t>2</w:t>
      </w:r>
      <w:r w:rsidR="44B87369" w:rsidRPr="005E20AD">
        <w:t>%</w:t>
      </w:r>
      <w:r w:rsidR="4B58BB30" w:rsidRPr="005E20AD">
        <w:t xml:space="preserve"> </w:t>
      </w:r>
      <w:r w:rsidR="5D2118FB" w:rsidRPr="005E20AD">
        <w:t>(</w:t>
      </w:r>
      <w:r w:rsidR="5659579C" w:rsidRPr="005E20AD">
        <w:t>attribu</w:t>
      </w:r>
      <w:r w:rsidR="00616154" w:rsidRPr="005E20AD">
        <w:t>ted</w:t>
      </w:r>
      <w:r w:rsidR="5659579C" w:rsidRPr="005E20AD">
        <w:t xml:space="preserve"> to over 6,700 deaths</w:t>
      </w:r>
      <w:r w:rsidR="19754F4A" w:rsidRPr="005E20AD">
        <w:t>)</w:t>
      </w:r>
      <w:r w:rsidR="5659579C" w:rsidRPr="005E20AD">
        <w:t xml:space="preserve"> </w:t>
      </w:r>
      <w:r w:rsidR="00EF36F3" w:rsidRPr="005E20AD">
        <w:t>and 2.6</w:t>
      </w:r>
      <w:r w:rsidR="799DAD84" w:rsidRPr="005E20AD">
        <w:t>% f</w:t>
      </w:r>
      <w:r w:rsidR="5659579C" w:rsidRPr="005E20AD">
        <w:t xml:space="preserve">or New Zealand </w:t>
      </w:r>
      <w:r w:rsidR="5BC7A943" w:rsidRPr="005E20AD">
        <w:t>(</w:t>
      </w:r>
      <w:r w:rsidR="0E6A9353" w:rsidRPr="005E20AD">
        <w:t>attribut</w:t>
      </w:r>
      <w:r w:rsidRPr="005E20AD">
        <w:t>ed</w:t>
      </w:r>
      <w:r w:rsidR="0E6A9353" w:rsidRPr="005E20AD">
        <w:t xml:space="preserve"> to </w:t>
      </w:r>
      <w:r w:rsidRPr="005E20AD">
        <w:t>almost</w:t>
      </w:r>
      <w:r w:rsidR="0E6A9353" w:rsidRPr="005E20AD">
        <w:t xml:space="preserve"> 1,500 deaths</w:t>
      </w:r>
      <w:r w:rsidR="084D0E89" w:rsidRPr="005E20AD">
        <w:t>)</w:t>
      </w:r>
      <w:r w:rsidR="0E6A9353" w:rsidRPr="005E20AD">
        <w:t xml:space="preserve">. </w:t>
      </w:r>
    </w:p>
    <w:p w14:paraId="71458B96" w14:textId="214999CF" w:rsidR="00DB6FDB" w:rsidRPr="005E20AD" w:rsidRDefault="00DB6FDB" w:rsidP="00DB6FDB">
      <w:r w:rsidRPr="005E20AD">
        <w:lastRenderedPageBreak/>
        <w:t xml:space="preserve">Higher intakes of dietary fibre or whole grains are associated with reduced risk of mortality and the incidence of </w:t>
      </w:r>
      <w:proofErr w:type="gramStart"/>
      <w:r w:rsidRPr="005E20AD">
        <w:t>a number of</w:t>
      </w:r>
      <w:proofErr w:type="gramEnd"/>
      <w:r w:rsidRPr="005E20AD">
        <w:t xml:space="preserve"> non-communicable diseases and their risk factors</w:t>
      </w:r>
      <w:r w:rsidRPr="005E20AD">
        <w:rPr>
          <w:rStyle w:val="FootnoteReference"/>
        </w:rPr>
        <w:footnoteReference w:id="175"/>
      </w:r>
      <w:r w:rsidRPr="005E20AD">
        <w:t xml:space="preserve">. Most of the evidence about this relationship relates to the fibre that naturally occurs in fibre-rich foods, rather than synthetic or extracted fibre which is added to processed foods to increase fibre content. </w:t>
      </w:r>
    </w:p>
    <w:p w14:paraId="361956BC" w14:textId="490CBA2B" w:rsidR="003812BE" w:rsidRDefault="003812BE" w:rsidP="02E92738">
      <w:pPr>
        <w:rPr>
          <w:highlight w:val="yellow"/>
        </w:rPr>
      </w:pPr>
      <w:r w:rsidRPr="005E20AD">
        <w:t>The NHMRC recommends Au</w:t>
      </w:r>
      <w:r w:rsidR="00DB2C51" w:rsidRPr="005E20AD">
        <w:t>stralian and New Zealand</w:t>
      </w:r>
      <w:r w:rsidR="00DB2C51">
        <w:t xml:space="preserve"> women </w:t>
      </w:r>
      <w:r>
        <w:t xml:space="preserve">consume </w:t>
      </w:r>
      <w:r w:rsidR="00DB2C51">
        <w:t xml:space="preserve">25g of dietary fibre per day, and </w:t>
      </w:r>
      <w:r w:rsidR="7A311166">
        <w:t xml:space="preserve">men </w:t>
      </w:r>
      <w:r w:rsidR="00DB2C51">
        <w:t>30g</w:t>
      </w:r>
      <w:r w:rsidR="005756C2">
        <w:t xml:space="preserve"> per</w:t>
      </w:r>
      <w:r w:rsidR="00616154">
        <w:t xml:space="preserve"> day as an adequate intake</w:t>
      </w:r>
      <w:r w:rsidR="00DB2C51">
        <w:t>.</w:t>
      </w:r>
      <w:r w:rsidR="006668E1">
        <w:t xml:space="preserve"> F</w:t>
      </w:r>
      <w:r w:rsidR="00DB2C51">
        <w:t xml:space="preserve">or the </w:t>
      </w:r>
      <w:r>
        <w:t>prevent</w:t>
      </w:r>
      <w:r w:rsidR="00DB2C51">
        <w:t>ion o</w:t>
      </w:r>
      <w:r w:rsidR="5BE2D9EF">
        <w:t>f</w:t>
      </w:r>
      <w:r>
        <w:t xml:space="preserve"> </w:t>
      </w:r>
      <w:r w:rsidR="00811E03">
        <w:t>non-communicable</w:t>
      </w:r>
      <w:r>
        <w:t xml:space="preserve"> disease</w:t>
      </w:r>
      <w:r w:rsidR="0E3B2AD4">
        <w:t>,</w:t>
      </w:r>
      <w:r>
        <w:t xml:space="preserve"> women should aim </w:t>
      </w:r>
      <w:r w:rsidR="00F478F0">
        <w:t>f</w:t>
      </w:r>
      <w:r>
        <w:t>or 28g of fibre per day and men 38g fibre</w:t>
      </w:r>
      <w:r w:rsidR="3AC72387">
        <w:t xml:space="preserve"> per day</w:t>
      </w:r>
      <w:r>
        <w:t xml:space="preserve">. </w:t>
      </w:r>
    </w:p>
    <w:p w14:paraId="58F10284" w14:textId="519D422B" w:rsidR="0039439A" w:rsidRDefault="17CF058C" w:rsidP="7433B3D5">
      <w:r>
        <w:t>The Australian Dietary Guidelines recommend that at least two thirds of grain</w:t>
      </w:r>
      <w:r w:rsidR="00616154">
        <w:t>/cereal</w:t>
      </w:r>
      <w:r>
        <w:t xml:space="preserve"> products </w:t>
      </w:r>
      <w:r w:rsidR="00616154">
        <w:t xml:space="preserve">consumed </w:t>
      </w:r>
      <w:r>
        <w:t xml:space="preserve">should be wholegrain and/or high fibre varieties. </w:t>
      </w:r>
      <w:r w:rsidR="003812BE">
        <w:t>I</w:t>
      </w:r>
      <w:r w:rsidR="00FD0E85">
        <w:t xml:space="preserve">n 2011-12 around one-third of all grain and cereal foods consumed by Australians were wholegrain or high fibre products. </w:t>
      </w:r>
      <w:r w:rsidR="006668E1">
        <w:t>M</w:t>
      </w:r>
      <w:r w:rsidR="1C688A2C">
        <w:t>en consumed a</w:t>
      </w:r>
      <w:r w:rsidR="4B4C3509">
        <w:t xml:space="preserve"> daily</w:t>
      </w:r>
      <w:r w:rsidR="1C688A2C">
        <w:t xml:space="preserve"> average of 25g of dietary </w:t>
      </w:r>
      <w:r w:rsidR="54254E4F">
        <w:t xml:space="preserve">fibre, and women </w:t>
      </w:r>
      <w:r w:rsidR="21AE5D5E">
        <w:t>21g</w:t>
      </w:r>
      <w:r w:rsidR="18F18692">
        <w:t xml:space="preserve">. This </w:t>
      </w:r>
      <w:r w:rsidR="21AE5D5E">
        <w:t>is below the</w:t>
      </w:r>
      <w:r w:rsidR="1570ED1D">
        <w:t xml:space="preserve"> adequate</w:t>
      </w:r>
      <w:r w:rsidR="7833F7BE">
        <w:t xml:space="preserve"> and optimal</w:t>
      </w:r>
      <w:r w:rsidR="1570ED1D">
        <w:t xml:space="preserve"> </w:t>
      </w:r>
      <w:r w:rsidR="21AE5D5E">
        <w:t>fibre recommendations by the NHMRC</w:t>
      </w:r>
      <w:r w:rsidR="74FA7D6B">
        <w:t xml:space="preserve">. </w:t>
      </w:r>
      <w:r w:rsidR="7DD01A54">
        <w:t xml:space="preserve">Main sources </w:t>
      </w:r>
      <w:r w:rsidR="30728DFD">
        <w:t>o</w:t>
      </w:r>
      <w:r w:rsidR="53BB6C58">
        <w:t>f</w:t>
      </w:r>
      <w:r w:rsidR="7DD01A54">
        <w:t xml:space="preserve"> dietary fibre </w:t>
      </w:r>
      <w:r w:rsidR="4D819991">
        <w:t>for</w:t>
      </w:r>
      <w:r w:rsidR="7DD01A54">
        <w:t xml:space="preserve"> </w:t>
      </w:r>
      <w:r w:rsidR="0ED71831">
        <w:t>Australian</w:t>
      </w:r>
      <w:r w:rsidR="7918CF05">
        <w:t xml:space="preserve"> adults were </w:t>
      </w:r>
      <w:r w:rsidR="78EA1759">
        <w:t>cereals and cereal products (</w:t>
      </w:r>
      <w:proofErr w:type="gramStart"/>
      <w:r w:rsidR="78EA1759">
        <w:t>e.g.</w:t>
      </w:r>
      <w:proofErr w:type="gramEnd"/>
      <w:r w:rsidR="78EA1759">
        <w:t xml:space="preserve"> br</w:t>
      </w:r>
      <w:r w:rsidR="5CF0033D">
        <w:t>eakfast cer</w:t>
      </w:r>
      <w:r w:rsidR="4BFF4B8A">
        <w:t>e</w:t>
      </w:r>
      <w:r w:rsidR="5CF0033D">
        <w:t>als and breads)</w:t>
      </w:r>
      <w:r w:rsidR="78EA1759">
        <w:t xml:space="preserve"> (29.0%)</w:t>
      </w:r>
      <w:r w:rsidR="00616154">
        <w:t>,</w:t>
      </w:r>
      <w:r w:rsidR="78EA1759">
        <w:t xml:space="preserve"> </w:t>
      </w:r>
      <w:r w:rsidR="7918CF05">
        <w:t>vegetable products and dishes (20</w:t>
      </w:r>
      <w:r w:rsidR="35F119FF">
        <w:t>.0</w:t>
      </w:r>
      <w:r w:rsidR="7918CF05">
        <w:t xml:space="preserve">%), </w:t>
      </w:r>
      <w:r w:rsidR="607064C2">
        <w:t>cereal-based products and dishes</w:t>
      </w:r>
      <w:r w:rsidR="41A6C4E6">
        <w:t xml:space="preserve"> (e.g. biscuits, cakes and muffins)</w:t>
      </w:r>
      <w:r w:rsidR="607064C2">
        <w:t xml:space="preserve"> (14.6%), fruit products and dishes (14.4%)</w:t>
      </w:r>
      <w:r w:rsidR="46556B5F">
        <w:t>.</w:t>
      </w:r>
    </w:p>
    <w:p w14:paraId="0661A556" w14:textId="50D2341C" w:rsidR="0039439A" w:rsidRPr="005E20AD" w:rsidRDefault="4BE30E43" w:rsidP="4F93ADCF">
      <w:r>
        <w:t>T</w:t>
      </w:r>
      <w:r w:rsidR="003812BE">
        <w:t xml:space="preserve">he New Zealand Eating and Activity Guidelines also recommend consuming mostly wholegrain </w:t>
      </w:r>
      <w:r w:rsidR="0B787E55">
        <w:t xml:space="preserve">foods and those naturally </w:t>
      </w:r>
      <w:r w:rsidR="003812BE">
        <w:t xml:space="preserve">high </w:t>
      </w:r>
      <w:r w:rsidR="35E13E13">
        <w:t>in fibre</w:t>
      </w:r>
      <w:r w:rsidR="00616154">
        <w:t>.</w:t>
      </w:r>
      <w:r w:rsidR="35E13E13">
        <w:t xml:space="preserve"> </w:t>
      </w:r>
      <w:r w:rsidR="00616154">
        <w:t>In 2008</w:t>
      </w:r>
      <w:r w:rsidR="00983CE7">
        <w:t>-</w:t>
      </w:r>
      <w:r w:rsidR="00616154">
        <w:t xml:space="preserve">09, average </w:t>
      </w:r>
      <w:r w:rsidR="003812BE">
        <w:t xml:space="preserve">dietary intakes for fibre </w:t>
      </w:r>
      <w:r w:rsidR="006668E1">
        <w:t xml:space="preserve">for </w:t>
      </w:r>
      <w:r w:rsidR="003812BE">
        <w:t xml:space="preserve">New Zealand </w:t>
      </w:r>
      <w:r w:rsidR="00616154">
        <w:t>adults was</w:t>
      </w:r>
      <w:r w:rsidR="003812BE">
        <w:t xml:space="preserve"> 20g a day, below the NHMRC recommendation</w:t>
      </w:r>
      <w:r w:rsidR="00912E75">
        <w:t>s</w:t>
      </w:r>
      <w:r w:rsidR="00616154">
        <w:t xml:space="preserve">. Only 10-14 % of adults </w:t>
      </w:r>
      <w:r w:rsidR="00616154" w:rsidRPr="005E20AD">
        <w:t>usually consumed heavy grain bread, while 25-30% consumed white bread, and 50% light-grain breads</w:t>
      </w:r>
      <w:r w:rsidR="00616154" w:rsidRPr="005E20AD">
        <w:rPr>
          <w:rStyle w:val="FootnoteReference"/>
        </w:rPr>
        <w:footnoteReference w:id="176"/>
      </w:r>
      <w:r w:rsidR="00616154" w:rsidRPr="005E20AD">
        <w:t xml:space="preserve">. </w:t>
      </w:r>
    </w:p>
    <w:p w14:paraId="3163290B" w14:textId="490DCF7F" w:rsidR="00004C5C" w:rsidRPr="005E20AD" w:rsidRDefault="00004C5C" w:rsidP="003B5E2D">
      <w:pPr>
        <w:pStyle w:val="Heading4"/>
      </w:pPr>
      <w:r w:rsidRPr="005E20AD">
        <w:t>Assessment</w:t>
      </w:r>
    </w:p>
    <w:p w14:paraId="7129CB22" w14:textId="1F048F8E" w:rsidR="00DB6FDB" w:rsidRPr="005E20AD" w:rsidRDefault="008223C0" w:rsidP="00DB6FDB">
      <w:r w:rsidRPr="005E20AD">
        <w:t>While higher intakes of fibre have many health benefits, these benefits have been associated with naturally occurring fibres (</w:t>
      </w:r>
      <w:proofErr w:type="gramStart"/>
      <w:r w:rsidRPr="005E20AD">
        <w:t>e.g.</w:t>
      </w:r>
      <w:proofErr w:type="gramEnd"/>
      <w:r w:rsidRPr="005E20AD">
        <w:t xml:space="preserve"> in wholegrains, fruits and vegetables) and may not necessarily be obtained through increasing fibre content of processed f</w:t>
      </w:r>
      <w:r w:rsidR="00EB78C9">
        <w:t>oods by adding synthetic fibre.</w:t>
      </w:r>
    </w:p>
    <w:p w14:paraId="2CC2E4C5" w14:textId="5106F1F6" w:rsidR="00362EC3" w:rsidRDefault="00362EC3" w:rsidP="00362EC3">
      <w:r>
        <w:t>No examples of mandatory compositional limits for dietary fibre or wholegrains</w:t>
      </w:r>
      <w:r w:rsidR="005756C2">
        <w:t xml:space="preserve"> were identified internationally</w:t>
      </w:r>
      <w:r>
        <w:t xml:space="preserve">. </w:t>
      </w:r>
      <w:r w:rsidR="00404C66">
        <w:t>However, t</w:t>
      </w:r>
      <w:r>
        <w:t>here is evidence that reformulation of foods to increase wholegrain content has occurred internationally in response to increased recognition of the health benefits of wholegrains</w:t>
      </w:r>
      <w:r w:rsidR="00DB2876">
        <w:t xml:space="preserve"> and advice to consume wholegrain foods</w:t>
      </w:r>
      <w:r>
        <w:rPr>
          <w:rStyle w:val="FootnoteReference"/>
        </w:rPr>
        <w:footnoteReference w:id="177"/>
      </w:r>
      <w:r>
        <w:t xml:space="preserve">. </w:t>
      </w:r>
    </w:p>
    <w:p w14:paraId="5FDF6DE7" w14:textId="26E17A60" w:rsidR="006D228A" w:rsidRDefault="00362EC3" w:rsidP="00FE7426">
      <w:r>
        <w:t xml:space="preserve">Given that a diet low in grains is the leading risk factor for burden of disease in Australia and New Zealand, and current consumption is below adequate and optimal levels, increasing consumption of </w:t>
      </w:r>
      <w:proofErr w:type="gramStart"/>
      <w:r>
        <w:t>whole-grains</w:t>
      </w:r>
      <w:proofErr w:type="gramEnd"/>
      <w:r>
        <w:t xml:space="preserve"> will be important to improving population health outcomes. However, r</w:t>
      </w:r>
      <w:r w:rsidR="00330780">
        <w:t xml:space="preserve">eformulation targets for positive nutrients such as wholegrains are </w:t>
      </w:r>
      <w:r w:rsidR="00D714A5">
        <w:t>not currently</w:t>
      </w:r>
      <w:r w:rsidR="00330780">
        <w:t xml:space="preserve"> under consideration for </w:t>
      </w:r>
      <w:r w:rsidR="00DB1983">
        <w:t xml:space="preserve">voluntary </w:t>
      </w:r>
      <w:r w:rsidR="001E0D78">
        <w:t>reformulation activities</w:t>
      </w:r>
      <w:r w:rsidR="00330780">
        <w:t xml:space="preserve">. </w:t>
      </w:r>
    </w:p>
    <w:p w14:paraId="40C6E256" w14:textId="5803B420" w:rsidR="00FE7426" w:rsidRDefault="00D714A5" w:rsidP="003B5E2D">
      <w:pPr>
        <w:pStyle w:val="Heading4"/>
      </w:pPr>
      <w:r>
        <w:lastRenderedPageBreak/>
        <w:t>Conclusion</w:t>
      </w:r>
    </w:p>
    <w:p w14:paraId="7EC4987A" w14:textId="398D50EB" w:rsidR="008223C0" w:rsidRDefault="00DB1983" w:rsidP="008223C0">
      <w:r>
        <w:t>Given that Dietary G</w:t>
      </w:r>
      <w:r w:rsidR="00D714A5">
        <w:t xml:space="preserve">uidelines in Australia and New Zealand recommend grain and cereal foods </w:t>
      </w:r>
      <w:r w:rsidR="00362EC3">
        <w:t xml:space="preserve">consumed be predominantly wholegrain or high fibre varieties, </w:t>
      </w:r>
      <w:r w:rsidR="00D714A5">
        <w:t>behaviour change messages to promote wholegrain</w:t>
      </w:r>
      <w:r w:rsidR="008223C0">
        <w:t xml:space="preserve"> and foods naturally high in </w:t>
      </w:r>
      <w:r w:rsidR="004A1EC4">
        <w:t xml:space="preserve">fibre </w:t>
      </w:r>
      <w:r w:rsidR="00D714A5">
        <w:t xml:space="preserve">should be better disseminated </w:t>
      </w:r>
      <w:r w:rsidR="008223C0" w:rsidRPr="005E20AD">
        <w:t>in the first instance</w:t>
      </w:r>
      <w:r w:rsidR="00D714A5" w:rsidRPr="005E20AD">
        <w:t xml:space="preserve">. </w:t>
      </w:r>
      <w:r w:rsidR="00362EC3" w:rsidRPr="005E20AD">
        <w:t>Voluntary industry-led labelling approaches exist to support consumers to identify wholegrain</w:t>
      </w:r>
      <w:r w:rsidR="00362EC3">
        <w:t xml:space="preserve"> foods</w:t>
      </w:r>
      <w:r w:rsidR="00362EC3">
        <w:rPr>
          <w:rStyle w:val="FootnoteReference"/>
        </w:rPr>
        <w:footnoteReference w:id="178"/>
      </w:r>
      <w:r w:rsidR="00362EC3">
        <w:t xml:space="preserve">. </w:t>
      </w:r>
      <w:r w:rsidR="00D714A5">
        <w:t xml:space="preserve">Better promotion of the benefits of wholegrain products may also increase consumer demand for these foods and encourage the food industry to voluntarily increase </w:t>
      </w:r>
      <w:r w:rsidR="00362EC3">
        <w:t xml:space="preserve">their products’ </w:t>
      </w:r>
      <w:r w:rsidR="00D714A5">
        <w:t xml:space="preserve">wholegrain and content. </w:t>
      </w:r>
      <w:bookmarkStart w:id="81" w:name="_Toc49506072"/>
      <w:bookmarkStart w:id="82" w:name="_Toc49506920"/>
    </w:p>
    <w:p w14:paraId="1B5ED9F5" w14:textId="73532BBC" w:rsidR="00BC0431" w:rsidRPr="00DB1983" w:rsidRDefault="008223C0">
      <w:r>
        <w:t xml:space="preserve">It is recommended that voluntary actions to increase wholegrain content of foods be pursued before mandatory compositional limits are considered. It is also relevant to note that compositional limits are usually set to minimise the level of a risk nutrient in a </w:t>
      </w:r>
      <w:proofErr w:type="gramStart"/>
      <w:r>
        <w:t>product, and</w:t>
      </w:r>
      <w:proofErr w:type="gramEnd"/>
      <w:r>
        <w:t xml:space="preserve"> may not be well suited to nutrients or ingredients where the goal is to increase the amount of that part</w:t>
      </w:r>
      <w:r w:rsidR="00880EB0">
        <w:t xml:space="preserve">icular nutrient or ingredient. </w:t>
      </w:r>
    </w:p>
    <w:p w14:paraId="5653B83E" w14:textId="29B18C44" w:rsidR="00223743" w:rsidRPr="00AF6CB1" w:rsidRDefault="00DB29B4" w:rsidP="00AF6CB1">
      <w:pPr>
        <w:pStyle w:val="Heading2"/>
        <w:rPr>
          <w:b/>
        </w:rPr>
      </w:pPr>
      <w:bookmarkStart w:id="83" w:name="_Toc54273233"/>
      <w:r>
        <w:rPr>
          <w:b/>
        </w:rPr>
        <w:t>Part 4</w:t>
      </w:r>
      <w:r w:rsidR="00AF6CB1" w:rsidRPr="00AF6CB1">
        <w:rPr>
          <w:b/>
        </w:rPr>
        <w:t xml:space="preserve">: </w:t>
      </w:r>
      <w:r w:rsidR="00223743" w:rsidRPr="00AF6CB1">
        <w:rPr>
          <w:b/>
        </w:rPr>
        <w:t>Recommendations and next steps</w:t>
      </w:r>
      <w:bookmarkEnd w:id="81"/>
      <w:bookmarkEnd w:id="82"/>
      <w:bookmarkEnd w:id="83"/>
    </w:p>
    <w:p w14:paraId="4E322CA4" w14:textId="7CAB46E6" w:rsidR="004C6C5B" w:rsidRDefault="004C6C5B" w:rsidP="00990754">
      <w:pPr>
        <w:pStyle w:val="ISCnumbered"/>
        <w:numPr>
          <w:ilvl w:val="0"/>
          <w:numId w:val="0"/>
        </w:numPr>
        <w:tabs>
          <w:tab w:val="clear" w:pos="426"/>
          <w:tab w:val="clear" w:pos="709"/>
          <w:tab w:val="left" w:pos="567"/>
        </w:tabs>
        <w:spacing w:after="0"/>
        <w:rPr>
          <w:rFonts w:ascii="Times New (W1)" w:hAnsi="Times New (W1)" w:cs="Times New (W1)"/>
        </w:rPr>
      </w:pPr>
      <w:r>
        <w:rPr>
          <w:rFonts w:ascii="Times New (W1)" w:hAnsi="Times New (W1)" w:cs="Times New (W1)"/>
        </w:rPr>
        <w:t xml:space="preserve">Work on improving food composition helps to improve the food environment. </w:t>
      </w:r>
      <w:r w:rsidR="003B6184">
        <w:rPr>
          <w:rFonts w:ascii="Times New (W1)" w:hAnsi="Times New (W1)" w:cs="Times New (W1)"/>
        </w:rPr>
        <w:t xml:space="preserve">Other </w:t>
      </w:r>
      <w:r>
        <w:rPr>
          <w:rFonts w:ascii="Times New (W1)" w:hAnsi="Times New (W1)" w:cs="Times New (W1)"/>
        </w:rPr>
        <w:t>complement</w:t>
      </w:r>
      <w:r w:rsidR="003B6184">
        <w:rPr>
          <w:rFonts w:ascii="Times New (W1)" w:hAnsi="Times New (W1)" w:cs="Times New (W1)"/>
        </w:rPr>
        <w:t>ary</w:t>
      </w:r>
      <w:r>
        <w:rPr>
          <w:rFonts w:ascii="Times New (W1)" w:hAnsi="Times New (W1)" w:cs="Times New (W1)"/>
        </w:rPr>
        <w:t xml:space="preserve"> activities occurring in Australia and New Zealand </w:t>
      </w:r>
      <w:r w:rsidR="003B6184">
        <w:rPr>
          <w:rFonts w:ascii="Times New (W1)" w:hAnsi="Times New (W1)" w:cs="Times New (W1)"/>
        </w:rPr>
        <w:t xml:space="preserve">are </w:t>
      </w:r>
      <w:r>
        <w:rPr>
          <w:rFonts w:ascii="Times New (W1)" w:hAnsi="Times New (W1)" w:cs="Times New (W1)"/>
        </w:rPr>
        <w:t>the front-of-pack HSR labelling system, education, nutrition labelling and health promotion activities.</w:t>
      </w:r>
    </w:p>
    <w:p w14:paraId="4F788974" w14:textId="75D9A9C7" w:rsidR="00990754" w:rsidRDefault="00990754" w:rsidP="00990754">
      <w:pPr>
        <w:pStyle w:val="ISCnumbered"/>
        <w:numPr>
          <w:ilvl w:val="0"/>
          <w:numId w:val="0"/>
        </w:numPr>
        <w:tabs>
          <w:tab w:val="clear" w:pos="426"/>
          <w:tab w:val="clear" w:pos="709"/>
          <w:tab w:val="left" w:pos="567"/>
        </w:tabs>
        <w:spacing w:after="0"/>
        <w:rPr>
          <w:rFonts w:ascii="Times New (W1)" w:hAnsi="Times New (W1)" w:cs="Times New (W1)"/>
        </w:rPr>
      </w:pPr>
      <w:r>
        <w:rPr>
          <w:rFonts w:ascii="Times New (W1)" w:hAnsi="Times New (W1)" w:cs="Times New (W1)"/>
        </w:rPr>
        <w:t xml:space="preserve">This Policy Paper has identified </w:t>
      </w:r>
      <w:r w:rsidR="008E206C">
        <w:rPr>
          <w:rFonts w:ascii="Times New (W1)" w:hAnsi="Times New (W1)" w:cs="Times New (W1)"/>
        </w:rPr>
        <w:t xml:space="preserve">the following </w:t>
      </w:r>
      <w:r>
        <w:rPr>
          <w:rFonts w:ascii="Times New (W1)" w:hAnsi="Times New (W1)" w:cs="Times New (W1)"/>
        </w:rPr>
        <w:t xml:space="preserve">gaps in current </w:t>
      </w:r>
      <w:r w:rsidR="004B1E19">
        <w:rPr>
          <w:rFonts w:ascii="Times New (W1)" w:hAnsi="Times New (W1)" w:cs="Times New (W1)"/>
        </w:rPr>
        <w:t xml:space="preserve">voluntary </w:t>
      </w:r>
      <w:r>
        <w:rPr>
          <w:rFonts w:ascii="Times New (W1)" w:hAnsi="Times New (W1)" w:cs="Times New (W1)"/>
        </w:rPr>
        <w:t>actions in Australia and New Zealand to improve the composition of the food supply:</w:t>
      </w:r>
    </w:p>
    <w:p w14:paraId="5E3DFC2F" w14:textId="3436EF7C" w:rsidR="00990754" w:rsidRPr="0007172E" w:rsidRDefault="00990754" w:rsidP="00990754">
      <w:pPr>
        <w:pStyle w:val="ISCnumbered"/>
        <w:numPr>
          <w:ilvl w:val="0"/>
          <w:numId w:val="13"/>
        </w:numPr>
        <w:tabs>
          <w:tab w:val="clear" w:pos="709"/>
        </w:tabs>
        <w:spacing w:after="0"/>
        <w:rPr>
          <w:rFonts w:ascii="Times New (W1)" w:hAnsi="Times New (W1)" w:cs="Times New (W1)"/>
        </w:rPr>
      </w:pPr>
      <w:r w:rsidRPr="0007172E">
        <w:rPr>
          <w:rFonts w:ascii="Times New (W1)" w:hAnsi="Times New (W1)" w:cs="Times New (W1)"/>
        </w:rPr>
        <w:t>There are no organised voluntary reformulation activities underway in the fast food/quick service sector despite (pre COVID-19) trends for increasing expenditure in Australian and New Zealand on foods at restaurants and ready-to-eat items. Some products in these outlets have significantly high levels of risk nutrients</w:t>
      </w:r>
      <w:r>
        <w:rPr>
          <w:rFonts w:ascii="Times New (W1)" w:hAnsi="Times New (W1)" w:cs="Times New (W1)"/>
        </w:rPr>
        <w:t xml:space="preserve"> and t</w:t>
      </w:r>
      <w:r w:rsidRPr="0007172E">
        <w:t xml:space="preserve">here is limited industry-led action to improve food composition in this sector. </w:t>
      </w:r>
    </w:p>
    <w:p w14:paraId="0B007723" w14:textId="49EE790D" w:rsidR="00990754" w:rsidRPr="0007172E" w:rsidRDefault="00990754" w:rsidP="00990754">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 xml:space="preserve">There have been long running industry-led voluntary reformulation efforts to reduce the level of trans fats in the food supply. This has largely been </w:t>
      </w:r>
      <w:proofErr w:type="gramStart"/>
      <w:r w:rsidRPr="0007172E">
        <w:rPr>
          <w:rFonts w:ascii="Times New (W1)" w:hAnsi="Times New (W1)" w:cs="Times New (W1)"/>
        </w:rPr>
        <w:t>successful</w:t>
      </w:r>
      <w:r w:rsidR="00D35DED">
        <w:rPr>
          <w:rFonts w:ascii="Times New (W1)" w:hAnsi="Times New (W1)" w:cs="Times New (W1)"/>
        </w:rPr>
        <w:t>,</w:t>
      </w:r>
      <w:proofErr w:type="gramEnd"/>
      <w:r w:rsidRPr="0007172E">
        <w:rPr>
          <w:rFonts w:ascii="Times New (W1)" w:hAnsi="Times New (W1)" w:cs="Times New (W1)"/>
        </w:rPr>
        <w:t xml:space="preserve"> however</w:t>
      </w:r>
      <w:r w:rsidR="00D35DED">
        <w:rPr>
          <w:rFonts w:ascii="Times New (W1)" w:hAnsi="Times New (W1)" w:cs="Times New (W1)"/>
        </w:rPr>
        <w:t>,</w:t>
      </w:r>
      <w:r w:rsidRPr="0007172E">
        <w:rPr>
          <w:rFonts w:ascii="Times New (W1)" w:hAnsi="Times New (W1)" w:cs="Times New (W1)"/>
        </w:rPr>
        <w:t xml:space="preserve"> </w:t>
      </w:r>
      <w:r>
        <w:rPr>
          <w:rFonts w:ascii="Times New (W1)" w:hAnsi="Times New (W1)" w:cs="Times New (W1)"/>
        </w:rPr>
        <w:t xml:space="preserve">evidence indicates certain </w:t>
      </w:r>
      <w:r w:rsidRPr="0007172E">
        <w:rPr>
          <w:rFonts w:ascii="Times New (W1)" w:hAnsi="Times New (W1)" w:cs="Times New (W1)"/>
        </w:rPr>
        <w:t xml:space="preserve">vulnerable population groups in Australia </w:t>
      </w:r>
      <w:r>
        <w:rPr>
          <w:rFonts w:ascii="Times New (W1)" w:hAnsi="Times New (W1)" w:cs="Times New (W1)"/>
        </w:rPr>
        <w:t xml:space="preserve">may </w:t>
      </w:r>
      <w:r w:rsidRPr="0007172E">
        <w:rPr>
          <w:rFonts w:ascii="Times New (W1)" w:hAnsi="Times New (W1)" w:cs="Times New (W1)"/>
        </w:rPr>
        <w:t xml:space="preserve">continue to exceed recommended limits for intake of trans fats. </w:t>
      </w:r>
    </w:p>
    <w:p w14:paraId="2BE727F2" w14:textId="77777777" w:rsidR="00990754" w:rsidRPr="0007172E" w:rsidRDefault="00990754" w:rsidP="00990754">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There are voluntary efforts in place to reduce the sugar content of beverages such as soft drinks. However, industry is largely focussed on reducing average sugar content across the wider beverage category by producing more non-sugar beverages (</w:t>
      </w:r>
      <w:proofErr w:type="gramStart"/>
      <w:r w:rsidRPr="0007172E">
        <w:rPr>
          <w:rFonts w:ascii="Times New (W1)" w:hAnsi="Times New (W1)" w:cs="Times New (W1)"/>
        </w:rPr>
        <w:t>e.g.</w:t>
      </w:r>
      <w:proofErr w:type="gramEnd"/>
      <w:r w:rsidRPr="0007172E">
        <w:rPr>
          <w:rFonts w:ascii="Times New (W1)" w:hAnsi="Times New (W1)" w:cs="Times New (W1)"/>
        </w:rPr>
        <w:t xml:space="preserve"> water or artificially sweetened diet drinks) rather than reducing the sugar content of traditional ‘full sugar’ products. Despite reductions in consumption of sugary drinks, traditional ‘full sugar’ products are still more popular than diet drinks. International examples demonstrate that the sugar content of ‘full sugar’ beverages can be lower. </w:t>
      </w:r>
    </w:p>
    <w:p w14:paraId="5DF44B86" w14:textId="522CAEA1" w:rsidR="00990754" w:rsidRDefault="00990754" w:rsidP="00990754">
      <w:pPr>
        <w:pStyle w:val="ISCnumbered"/>
        <w:numPr>
          <w:ilvl w:val="0"/>
          <w:numId w:val="13"/>
        </w:numPr>
        <w:tabs>
          <w:tab w:val="clear" w:pos="426"/>
          <w:tab w:val="clear" w:pos="709"/>
          <w:tab w:val="left" w:pos="567"/>
        </w:tabs>
        <w:spacing w:after="0"/>
        <w:rPr>
          <w:rFonts w:ascii="Times New (W1)" w:hAnsi="Times New (W1)" w:cs="Times New (W1)"/>
        </w:rPr>
      </w:pPr>
      <w:r w:rsidRPr="0007172E">
        <w:rPr>
          <w:rFonts w:ascii="Times New (W1)" w:hAnsi="Times New (W1)" w:cs="Times New (W1)"/>
        </w:rPr>
        <w:t xml:space="preserve">Meat-alternatives are a food category that is growing in popularity. Sodium levels in some of these products are high and there is large variation in sodium content across the category. Limited industry led reformulation has been observed. </w:t>
      </w:r>
    </w:p>
    <w:p w14:paraId="17342624" w14:textId="77777777" w:rsidR="00990754" w:rsidRPr="0007172E" w:rsidRDefault="00990754" w:rsidP="00990754">
      <w:pPr>
        <w:pStyle w:val="ISCnumbered"/>
        <w:numPr>
          <w:ilvl w:val="0"/>
          <w:numId w:val="0"/>
        </w:numPr>
        <w:tabs>
          <w:tab w:val="clear" w:pos="426"/>
          <w:tab w:val="clear" w:pos="709"/>
          <w:tab w:val="left" w:pos="567"/>
        </w:tabs>
        <w:spacing w:after="0"/>
        <w:ind w:left="360"/>
        <w:rPr>
          <w:rFonts w:ascii="Times New (W1)" w:hAnsi="Times New (W1)" w:cs="Times New (W1)"/>
        </w:rPr>
      </w:pPr>
    </w:p>
    <w:p w14:paraId="4FCB5362" w14:textId="337D2407" w:rsidR="00990754" w:rsidRDefault="00990754" w:rsidP="00990754">
      <w:pPr>
        <w:pStyle w:val="Heading3"/>
      </w:pPr>
      <w:bookmarkStart w:id="84" w:name="_Toc49506073"/>
      <w:bookmarkStart w:id="85" w:name="_Toc49506921"/>
      <w:bookmarkStart w:id="86" w:name="_Toc54273234"/>
      <w:r>
        <w:t>Recommendations</w:t>
      </w:r>
      <w:bookmarkEnd w:id="84"/>
      <w:bookmarkEnd w:id="85"/>
      <w:bookmarkEnd w:id="86"/>
    </w:p>
    <w:p w14:paraId="00024101" w14:textId="487E31AF" w:rsidR="00990754" w:rsidRDefault="00990754" w:rsidP="00990754">
      <w:pPr>
        <w:pStyle w:val="ISCnumbered"/>
        <w:numPr>
          <w:ilvl w:val="0"/>
          <w:numId w:val="0"/>
        </w:numPr>
        <w:tabs>
          <w:tab w:val="clear" w:pos="426"/>
          <w:tab w:val="clear" w:pos="709"/>
          <w:tab w:val="left" w:pos="567"/>
        </w:tabs>
        <w:spacing w:after="0"/>
        <w:rPr>
          <w:rFonts w:ascii="Times New (W1)" w:hAnsi="Times New (W1)" w:cs="Times New (W1)"/>
        </w:rPr>
      </w:pPr>
      <w:proofErr w:type="gramStart"/>
      <w:r>
        <w:rPr>
          <w:rFonts w:ascii="Times New (W1)" w:hAnsi="Times New (W1)" w:cs="Times New (W1)"/>
        </w:rPr>
        <w:t>In light of</w:t>
      </w:r>
      <w:proofErr w:type="gramEnd"/>
      <w:r>
        <w:rPr>
          <w:rFonts w:ascii="Times New (W1)" w:hAnsi="Times New (W1)" w:cs="Times New (W1)"/>
        </w:rPr>
        <w:t xml:space="preserve"> the above, it is recommended</w:t>
      </w:r>
      <w:r w:rsidR="008E206C">
        <w:rPr>
          <w:rFonts w:ascii="Times New (W1)" w:hAnsi="Times New (W1)" w:cs="Times New (W1)"/>
        </w:rPr>
        <w:t xml:space="preserve"> that:</w:t>
      </w:r>
    </w:p>
    <w:p w14:paraId="7184775C" w14:textId="089538FA" w:rsidR="00990754" w:rsidRPr="005E20AD" w:rsidRDefault="000747A2" w:rsidP="00990754">
      <w:pPr>
        <w:pStyle w:val="ISCnumbered"/>
        <w:numPr>
          <w:ilvl w:val="0"/>
          <w:numId w:val="13"/>
        </w:numPr>
        <w:tabs>
          <w:tab w:val="clear" w:pos="426"/>
          <w:tab w:val="clear" w:pos="709"/>
          <w:tab w:val="left" w:pos="567"/>
        </w:tabs>
        <w:spacing w:after="0"/>
        <w:rPr>
          <w:rFonts w:ascii="Times New (W1)" w:hAnsi="Times New (W1)" w:cs="Times New (W1)"/>
        </w:rPr>
      </w:pPr>
      <w:r>
        <w:rPr>
          <w:rFonts w:ascii="Times New (W1)" w:hAnsi="Times New (W1)" w:cs="Times New (W1)"/>
        </w:rPr>
        <w:lastRenderedPageBreak/>
        <w:t xml:space="preserve">A systems approach be pursued to strategically position the Food Regulatory System to support voluntary </w:t>
      </w:r>
      <w:r w:rsidR="00A26BB3">
        <w:rPr>
          <w:rFonts w:ascii="Times New (W1)" w:hAnsi="Times New (W1)" w:cs="Times New (W1)"/>
        </w:rPr>
        <w:t>initiatives</w:t>
      </w:r>
      <w:r>
        <w:rPr>
          <w:rFonts w:ascii="Times New (W1)" w:hAnsi="Times New (W1)" w:cs="Times New (W1)"/>
        </w:rPr>
        <w:t xml:space="preserve">, such as the </w:t>
      </w:r>
      <w:r w:rsidR="004F79B7">
        <w:rPr>
          <w:rFonts w:ascii="Times New (W1)" w:hAnsi="Times New (W1)" w:cs="Times New (W1)"/>
        </w:rPr>
        <w:t xml:space="preserve">Australian </w:t>
      </w:r>
      <w:r>
        <w:rPr>
          <w:rFonts w:ascii="Times New (W1)" w:hAnsi="Times New (W1)" w:cs="Times New (W1)"/>
        </w:rPr>
        <w:t xml:space="preserve">Healthy Food </w:t>
      </w:r>
      <w:r w:rsidR="00A26BB3">
        <w:rPr>
          <w:rFonts w:ascii="Times New (W1)" w:hAnsi="Times New (W1)" w:cs="Times New (W1)"/>
        </w:rPr>
        <w:t>Partnership</w:t>
      </w:r>
      <w:r>
        <w:rPr>
          <w:rFonts w:ascii="Times New (W1)" w:hAnsi="Times New (W1)" w:cs="Times New (W1)"/>
        </w:rPr>
        <w:t>. Such an approach should ensure t</w:t>
      </w:r>
      <w:r w:rsidR="00990754" w:rsidRPr="005E20AD">
        <w:rPr>
          <w:rFonts w:ascii="Times New (W1)" w:hAnsi="Times New (W1)" w:cs="Times New (W1)"/>
        </w:rPr>
        <w:t xml:space="preserve">ime </w:t>
      </w:r>
      <w:r>
        <w:rPr>
          <w:rFonts w:ascii="Times New (W1)" w:hAnsi="Times New (W1)" w:cs="Times New (W1)"/>
        </w:rPr>
        <w:t>is</w:t>
      </w:r>
      <w:r w:rsidR="00990754" w:rsidRPr="005E20AD">
        <w:rPr>
          <w:rFonts w:ascii="Times New (W1)" w:hAnsi="Times New (W1)" w:cs="Times New (W1)"/>
        </w:rPr>
        <w:t xml:space="preserve"> allowed for the food industry to demonstrate achievements against voluntary reformulation targets </w:t>
      </w:r>
      <w:r w:rsidR="008E206C" w:rsidRPr="005E20AD">
        <w:rPr>
          <w:rFonts w:ascii="Times New (W1)" w:hAnsi="Times New (W1)" w:cs="Times New (W1)"/>
        </w:rPr>
        <w:t xml:space="preserve">for saturated fat, sodium and sugar (in foods) </w:t>
      </w:r>
      <w:r w:rsidR="00990754" w:rsidRPr="005E20AD">
        <w:rPr>
          <w:rFonts w:ascii="Times New (W1)" w:hAnsi="Times New (W1)" w:cs="Times New (W1)"/>
        </w:rPr>
        <w:t>before regulatory options are pursued.</w:t>
      </w:r>
      <w:r w:rsidR="00B0288B" w:rsidRPr="005E20AD">
        <w:rPr>
          <w:rFonts w:ascii="Times New (W1)" w:hAnsi="Times New (W1)" w:cs="Times New (W1)"/>
        </w:rPr>
        <w:t xml:space="preserve"> </w:t>
      </w:r>
      <w:r w:rsidR="00BA3120" w:rsidRPr="005E20AD">
        <w:rPr>
          <w:rStyle w:val="Heading4Char"/>
          <w:rFonts w:ascii="Times New Roman" w:eastAsiaTheme="minorEastAsia" w:hAnsi="Times New Roman" w:cs="Times New Roman"/>
          <w:i w:val="0"/>
          <w:iCs w:val="0"/>
          <w:color w:val="auto"/>
        </w:rPr>
        <w:t xml:space="preserve">It is recommended that </w:t>
      </w:r>
      <w:r>
        <w:rPr>
          <w:rStyle w:val="Heading4Char"/>
          <w:rFonts w:ascii="Times New Roman" w:eastAsiaTheme="minorEastAsia" w:hAnsi="Times New Roman" w:cs="Times New Roman"/>
          <w:i w:val="0"/>
          <w:iCs w:val="0"/>
          <w:color w:val="auto"/>
        </w:rPr>
        <w:t xml:space="preserve">as a minimum, </w:t>
      </w:r>
      <w:r w:rsidR="00BA3120" w:rsidRPr="005E20AD">
        <w:rPr>
          <w:rStyle w:val="Heading4Char"/>
          <w:rFonts w:ascii="Times New Roman" w:eastAsiaTheme="minorEastAsia" w:hAnsi="Times New Roman" w:cs="Times New Roman"/>
          <w:i w:val="0"/>
          <w:iCs w:val="0"/>
          <w:color w:val="auto"/>
        </w:rPr>
        <w:t xml:space="preserve">progress against </w:t>
      </w:r>
      <w:r>
        <w:rPr>
          <w:rStyle w:val="Heading4Char"/>
          <w:rFonts w:ascii="Times New Roman" w:eastAsiaTheme="minorEastAsia" w:hAnsi="Times New Roman" w:cs="Times New Roman"/>
          <w:i w:val="0"/>
          <w:iCs w:val="0"/>
          <w:color w:val="auto"/>
        </w:rPr>
        <w:t xml:space="preserve">Healthy Food Partnership </w:t>
      </w:r>
      <w:r w:rsidR="00BA3120" w:rsidRPr="005E20AD">
        <w:rPr>
          <w:rStyle w:val="Heading4Char"/>
          <w:rFonts w:ascii="Times New Roman" w:eastAsiaTheme="minorEastAsia" w:hAnsi="Times New Roman" w:cs="Times New Roman"/>
          <w:i w:val="0"/>
          <w:iCs w:val="0"/>
          <w:color w:val="auto"/>
        </w:rPr>
        <w:t>reformulation targets be assessed in 2 years to determine whether industry is on track to achieve the</w:t>
      </w:r>
      <w:r>
        <w:rPr>
          <w:rStyle w:val="Heading4Char"/>
          <w:rFonts w:ascii="Times New Roman" w:eastAsiaTheme="minorEastAsia" w:hAnsi="Times New Roman" w:cs="Times New Roman"/>
          <w:i w:val="0"/>
          <w:iCs w:val="0"/>
          <w:color w:val="auto"/>
        </w:rPr>
        <w:t>se</w:t>
      </w:r>
      <w:r w:rsidR="00BA3120" w:rsidRPr="005E20AD">
        <w:rPr>
          <w:rStyle w:val="Heading4Char"/>
          <w:rFonts w:ascii="Times New Roman" w:eastAsiaTheme="minorEastAsia" w:hAnsi="Times New Roman" w:cs="Times New Roman"/>
          <w:i w:val="0"/>
          <w:iCs w:val="0"/>
          <w:color w:val="auto"/>
        </w:rPr>
        <w:t xml:space="preserve"> targets or whether there are </w:t>
      </w:r>
      <w:proofErr w:type="gramStart"/>
      <w:r w:rsidR="00BA3120" w:rsidRPr="005E20AD">
        <w:rPr>
          <w:rStyle w:val="Heading4Char"/>
          <w:rFonts w:ascii="Times New Roman" w:eastAsiaTheme="minorEastAsia" w:hAnsi="Times New Roman" w:cs="Times New Roman"/>
          <w:i w:val="0"/>
          <w:iCs w:val="0"/>
          <w:color w:val="auto"/>
        </w:rPr>
        <w:t>particular product</w:t>
      </w:r>
      <w:proofErr w:type="gramEnd"/>
      <w:r w:rsidR="00BA3120" w:rsidRPr="005E20AD">
        <w:rPr>
          <w:rStyle w:val="Heading4Char"/>
          <w:rFonts w:ascii="Times New Roman" w:eastAsiaTheme="minorEastAsia" w:hAnsi="Times New Roman" w:cs="Times New Roman"/>
          <w:i w:val="0"/>
          <w:iCs w:val="0"/>
          <w:color w:val="auto"/>
        </w:rPr>
        <w:t xml:space="preserve"> categories </w:t>
      </w:r>
      <w:r w:rsidR="002F2B1B" w:rsidRPr="005E20AD">
        <w:rPr>
          <w:rStyle w:val="Heading4Char"/>
          <w:rFonts w:ascii="Times New Roman" w:eastAsiaTheme="minorEastAsia" w:hAnsi="Times New Roman" w:cs="Times New Roman"/>
          <w:i w:val="0"/>
          <w:iCs w:val="0"/>
          <w:color w:val="auto"/>
        </w:rPr>
        <w:t>where industry response is insufficient or ineffective</w:t>
      </w:r>
      <w:r w:rsidR="00BA3120" w:rsidRPr="005E20AD">
        <w:rPr>
          <w:rStyle w:val="Heading4Char"/>
          <w:rFonts w:ascii="Times New Roman" w:eastAsiaTheme="minorEastAsia" w:hAnsi="Times New Roman" w:cs="Times New Roman"/>
          <w:i w:val="0"/>
          <w:iCs w:val="0"/>
          <w:color w:val="auto"/>
        </w:rPr>
        <w:t>.</w:t>
      </w:r>
    </w:p>
    <w:p w14:paraId="01E406E1" w14:textId="19353F8F" w:rsidR="00990754" w:rsidRPr="005E20AD" w:rsidRDefault="00990754" w:rsidP="00990754">
      <w:pPr>
        <w:pStyle w:val="ISCnumbered"/>
        <w:numPr>
          <w:ilvl w:val="0"/>
          <w:numId w:val="13"/>
        </w:numPr>
        <w:tabs>
          <w:tab w:val="clear" w:pos="426"/>
          <w:tab w:val="clear" w:pos="709"/>
          <w:tab w:val="left" w:pos="567"/>
        </w:tabs>
        <w:spacing w:after="0"/>
        <w:rPr>
          <w:rFonts w:ascii="Times New (W1)" w:hAnsi="Times New (W1)" w:cs="Times New (W1)"/>
        </w:rPr>
      </w:pPr>
      <w:r w:rsidRPr="005E20AD">
        <w:rPr>
          <w:rFonts w:ascii="Times New (W1)" w:hAnsi="Times New (W1)" w:cs="Times New (W1)"/>
        </w:rPr>
        <w:t>Additional voluntary reformulation targets be established for the quick service/fast food sector</w:t>
      </w:r>
      <w:r w:rsidR="004C6C5B">
        <w:rPr>
          <w:rFonts w:ascii="Times New (W1)" w:hAnsi="Times New (W1)" w:cs="Times New (W1)"/>
        </w:rPr>
        <w:t xml:space="preserve"> (for sodium, saturated fat and sugar as appropriate)</w:t>
      </w:r>
      <w:r w:rsidRPr="005E20AD">
        <w:rPr>
          <w:rFonts w:ascii="Times New (W1)" w:hAnsi="Times New (W1)" w:cs="Times New (W1)"/>
        </w:rPr>
        <w:t>, and for meat alternatives</w:t>
      </w:r>
      <w:r w:rsidR="004C6C5B">
        <w:rPr>
          <w:rFonts w:ascii="Times New (W1)" w:hAnsi="Times New (W1)" w:cs="Times New (W1)"/>
        </w:rPr>
        <w:t xml:space="preserve"> (sodium)</w:t>
      </w:r>
      <w:r w:rsidRPr="005E20AD">
        <w:rPr>
          <w:rFonts w:ascii="Times New (W1)" w:hAnsi="Times New (W1)" w:cs="Times New (W1)"/>
        </w:rPr>
        <w:t xml:space="preserve">. If voluntary reformulation is not </w:t>
      </w:r>
      <w:proofErr w:type="gramStart"/>
      <w:r w:rsidRPr="005E20AD">
        <w:rPr>
          <w:rFonts w:ascii="Times New (W1)" w:hAnsi="Times New (W1)" w:cs="Times New (W1)"/>
        </w:rPr>
        <w:t>effective</w:t>
      </w:r>
      <w:proofErr w:type="gramEnd"/>
      <w:r w:rsidRPr="005E20AD">
        <w:rPr>
          <w:rFonts w:ascii="Times New (W1)" w:hAnsi="Times New (W1)" w:cs="Times New (W1)"/>
        </w:rPr>
        <w:t xml:space="preserve"> then further regulatory options could be considered. </w:t>
      </w:r>
      <w:r w:rsidR="00BA3120" w:rsidRPr="005E20AD">
        <w:rPr>
          <w:rFonts w:ascii="Times New (W1)" w:hAnsi="Times New (W1)" w:cs="Times New (W1)"/>
        </w:rPr>
        <w:t>As above,</w:t>
      </w:r>
      <w:r w:rsidR="00BA3120" w:rsidRPr="005E20AD">
        <w:rPr>
          <w:rStyle w:val="Heading4Char"/>
          <w:rFonts w:ascii="Times New Roman" w:eastAsiaTheme="minorEastAsia" w:hAnsi="Times New Roman" w:cs="Times New Roman"/>
          <w:i w:val="0"/>
          <w:iCs w:val="0"/>
          <w:color w:val="auto"/>
        </w:rPr>
        <w:t xml:space="preserve"> </w:t>
      </w:r>
      <w:r w:rsidR="00D46B1A" w:rsidRPr="005E20AD">
        <w:rPr>
          <w:rStyle w:val="Heading4Char"/>
          <w:rFonts w:ascii="Times New Roman" w:eastAsiaTheme="minorEastAsia" w:hAnsi="Times New Roman" w:cs="Times New Roman"/>
          <w:i w:val="0"/>
          <w:iCs w:val="0"/>
          <w:color w:val="auto"/>
        </w:rPr>
        <w:t>it</w:t>
      </w:r>
      <w:r w:rsidR="00BA3120" w:rsidRPr="005E20AD">
        <w:rPr>
          <w:rStyle w:val="Heading4Char"/>
          <w:rFonts w:ascii="Times New Roman" w:eastAsiaTheme="minorEastAsia" w:hAnsi="Times New Roman" w:cs="Times New Roman"/>
          <w:i w:val="0"/>
          <w:iCs w:val="0"/>
          <w:color w:val="auto"/>
        </w:rPr>
        <w:t xml:space="preserve"> is recommended that progress against reformulation targets be assessed 2 years after targets are established to determine whether industry is on track to achieve the targets or whether there are </w:t>
      </w:r>
      <w:proofErr w:type="gramStart"/>
      <w:r w:rsidR="00BA3120" w:rsidRPr="005E20AD">
        <w:rPr>
          <w:rStyle w:val="Heading4Char"/>
          <w:rFonts w:ascii="Times New Roman" w:eastAsiaTheme="minorEastAsia" w:hAnsi="Times New Roman" w:cs="Times New Roman"/>
          <w:i w:val="0"/>
          <w:iCs w:val="0"/>
          <w:color w:val="auto"/>
        </w:rPr>
        <w:t>particular product</w:t>
      </w:r>
      <w:proofErr w:type="gramEnd"/>
      <w:r w:rsidR="00BA3120" w:rsidRPr="005E20AD">
        <w:rPr>
          <w:rStyle w:val="Heading4Char"/>
          <w:rFonts w:ascii="Times New Roman" w:eastAsiaTheme="minorEastAsia" w:hAnsi="Times New Roman" w:cs="Times New Roman"/>
          <w:i w:val="0"/>
          <w:iCs w:val="0"/>
          <w:color w:val="auto"/>
        </w:rPr>
        <w:t xml:space="preserve"> categories </w:t>
      </w:r>
      <w:r w:rsidR="002F2B1B" w:rsidRPr="005E20AD">
        <w:rPr>
          <w:rStyle w:val="Heading4Char"/>
          <w:rFonts w:ascii="Times New Roman" w:eastAsiaTheme="minorEastAsia" w:hAnsi="Times New Roman" w:cs="Times New Roman"/>
          <w:i w:val="0"/>
          <w:iCs w:val="0"/>
          <w:color w:val="auto"/>
        </w:rPr>
        <w:t>where the industry’s response is insufficient or ineffective</w:t>
      </w:r>
      <w:r w:rsidR="00BA3120" w:rsidRPr="005E20AD">
        <w:rPr>
          <w:rStyle w:val="Heading4Char"/>
          <w:rFonts w:ascii="Times New Roman" w:eastAsiaTheme="minorEastAsia" w:hAnsi="Times New Roman" w:cs="Times New Roman"/>
          <w:i w:val="0"/>
          <w:iCs w:val="0"/>
          <w:color w:val="auto"/>
        </w:rPr>
        <w:t>.</w:t>
      </w:r>
      <w:r w:rsidR="00BA3120" w:rsidRPr="005E20AD">
        <w:rPr>
          <w:rFonts w:ascii="Times New (W1)" w:hAnsi="Times New (W1)" w:cs="Times New (W1)"/>
        </w:rPr>
        <w:t xml:space="preserve"> If industry engagement is lacking, then regulatory options may need to be considered before the two-year period. </w:t>
      </w:r>
    </w:p>
    <w:p w14:paraId="23E889C8" w14:textId="558952B7" w:rsidR="00990754" w:rsidRDefault="00990754" w:rsidP="00990754">
      <w:pPr>
        <w:pStyle w:val="ISCnumbered"/>
        <w:numPr>
          <w:ilvl w:val="0"/>
          <w:numId w:val="13"/>
        </w:numPr>
        <w:tabs>
          <w:tab w:val="clear" w:pos="426"/>
          <w:tab w:val="clear" w:pos="709"/>
          <w:tab w:val="left" w:pos="567"/>
        </w:tabs>
        <w:spacing w:after="0"/>
        <w:rPr>
          <w:rFonts w:ascii="Times New (W1)" w:hAnsi="Times New (W1)" w:cs="Times New (W1)"/>
        </w:rPr>
      </w:pPr>
      <w:r w:rsidRPr="005E20AD">
        <w:rPr>
          <w:rFonts w:ascii="Times New (W1)" w:hAnsi="Times New (W1)" w:cs="Times New (W1)"/>
        </w:rPr>
        <w:t>Given the</w:t>
      </w:r>
      <w:r w:rsidR="005740FB" w:rsidRPr="005E20AD">
        <w:rPr>
          <w:rFonts w:ascii="Times New (W1)" w:hAnsi="Times New (W1)" w:cs="Times New (W1)"/>
        </w:rPr>
        <w:t xml:space="preserve"> outlined</w:t>
      </w:r>
      <w:r w:rsidRPr="005E20AD">
        <w:rPr>
          <w:rFonts w:ascii="Times New (W1)" w:hAnsi="Times New (W1)" w:cs="Times New (W1)"/>
        </w:rPr>
        <w:t xml:space="preserve"> shortfalls in</w:t>
      </w:r>
      <w:r>
        <w:rPr>
          <w:rFonts w:ascii="Times New (W1)" w:hAnsi="Times New (W1)" w:cs="Times New (W1)"/>
        </w:rPr>
        <w:t xml:space="preserve"> </w:t>
      </w:r>
      <w:r w:rsidR="000747A2">
        <w:rPr>
          <w:rFonts w:ascii="Times New (W1)" w:hAnsi="Times New (W1)" w:cs="Times New (W1)"/>
        </w:rPr>
        <w:t xml:space="preserve">existing </w:t>
      </w:r>
      <w:r>
        <w:rPr>
          <w:rFonts w:ascii="Times New (W1)" w:hAnsi="Times New (W1)" w:cs="Times New (W1)"/>
        </w:rPr>
        <w:t xml:space="preserve">voluntary reformulation efforts for trans fats and sugary drinks, </w:t>
      </w:r>
      <w:r w:rsidR="004B1E19">
        <w:rPr>
          <w:rFonts w:ascii="Times New (W1)" w:hAnsi="Times New (W1)" w:cs="Times New (W1)"/>
        </w:rPr>
        <w:t xml:space="preserve">additional </w:t>
      </w:r>
      <w:r>
        <w:rPr>
          <w:rFonts w:ascii="Times New (W1)" w:hAnsi="Times New (W1)" w:cs="Times New (W1)"/>
        </w:rPr>
        <w:t xml:space="preserve">options should be explored to improve the composition of the food supply for these nutrients/food categories by progressing work through Food Regulation Policy Framework. </w:t>
      </w:r>
      <w:r w:rsidR="004B1E19">
        <w:rPr>
          <w:rFonts w:ascii="Times New (W1)" w:hAnsi="Times New (W1)" w:cs="Times New (W1)"/>
        </w:rPr>
        <w:t xml:space="preserve">These would be progressed as two separate pieces of work and used as a case study for informing the development of a </w:t>
      </w:r>
      <w:r w:rsidR="00484D36">
        <w:rPr>
          <w:rFonts w:ascii="Times New (W1)" w:hAnsi="Times New (W1)" w:cs="Times New (W1)"/>
        </w:rPr>
        <w:t>systems approach</w:t>
      </w:r>
      <w:r w:rsidR="00BD40AF">
        <w:rPr>
          <w:rFonts w:ascii="Times New (W1)" w:hAnsi="Times New (W1)" w:cs="Times New (W1)"/>
        </w:rPr>
        <w:t xml:space="preserve"> </w:t>
      </w:r>
      <w:r w:rsidR="0096200E">
        <w:rPr>
          <w:rFonts w:ascii="Times New (W1)" w:hAnsi="Times New (W1)" w:cs="Times New (W1)"/>
        </w:rPr>
        <w:t xml:space="preserve">which takes a </w:t>
      </w:r>
      <w:r w:rsidR="004B1E19">
        <w:rPr>
          <w:rFonts w:ascii="Times New (W1)" w:hAnsi="Times New (W1)" w:cs="Times New (W1)"/>
        </w:rPr>
        <w:t>strategic view</w:t>
      </w:r>
      <w:r w:rsidR="0096200E">
        <w:rPr>
          <w:rFonts w:ascii="Times New (W1)" w:hAnsi="Times New (W1)" w:cs="Times New (W1)"/>
        </w:rPr>
        <w:t xml:space="preserve"> </w:t>
      </w:r>
      <w:r w:rsidR="0096200E" w:rsidRPr="0052296C">
        <w:rPr>
          <w:rFonts w:ascii="Times New (W1)" w:hAnsi="Times New (W1)" w:cs="Times New (W1)"/>
        </w:rPr>
        <w:t>on policies and procedures</w:t>
      </w:r>
      <w:r w:rsidR="004B1E19">
        <w:rPr>
          <w:rFonts w:ascii="Times New (W1)" w:hAnsi="Times New (W1)" w:cs="Times New (W1)"/>
        </w:rPr>
        <w:t xml:space="preserve"> in relation to food composition in Australia and New Zealand, and the regulatory and non-regulatory options available to improve composition when voluntary measures do not sufficiently support public health outcomes</w:t>
      </w:r>
    </w:p>
    <w:p w14:paraId="2A2B8CB8" w14:textId="52039C5E" w:rsidR="008E206C" w:rsidRDefault="008E206C" w:rsidP="008E206C">
      <w:pPr>
        <w:pStyle w:val="Heading3"/>
      </w:pPr>
      <w:bookmarkStart w:id="87" w:name="_Toc49506074"/>
      <w:bookmarkStart w:id="88" w:name="_Toc49506922"/>
      <w:bookmarkStart w:id="89" w:name="_Toc54273235"/>
      <w:r>
        <w:t>Next steps</w:t>
      </w:r>
      <w:bookmarkEnd w:id="87"/>
      <w:bookmarkEnd w:id="88"/>
      <w:bookmarkEnd w:id="89"/>
    </w:p>
    <w:p w14:paraId="5B77CA9C" w14:textId="360D1CEE" w:rsidR="008E206C" w:rsidRPr="00EE1D43" w:rsidRDefault="008E206C" w:rsidP="008E206C">
      <w:r w:rsidRPr="00EE1D43">
        <w:t xml:space="preserve">The next steps for this for </w:t>
      </w:r>
      <w:r w:rsidR="00562BDF" w:rsidRPr="00EE1D43">
        <w:t>progressing</w:t>
      </w:r>
      <w:r w:rsidRPr="00EE1D43">
        <w:t xml:space="preserve"> the recommendations in this paper are:</w:t>
      </w:r>
    </w:p>
    <w:p w14:paraId="42B8CAF8" w14:textId="32CE0FAB" w:rsidR="008E206C" w:rsidRPr="00EE1D43" w:rsidRDefault="00B0288B" w:rsidP="00562BDF">
      <w:r>
        <w:rPr>
          <w:u w:val="single"/>
        </w:rPr>
        <w:t>Voluntary reformulation-</w:t>
      </w:r>
      <w:r>
        <w:t xml:space="preserve"> The Food Regulation Standing Committee to recommend the Forum write to the Australian Healthy Food Partnership and </w:t>
      </w:r>
      <w:r w:rsidR="00F509FC">
        <w:t xml:space="preserve">representatives from the </w:t>
      </w:r>
      <w:r>
        <w:t>New Zealand Food Industry to recommend that voluntary reformulation targets be established for the fast food/quick serv</w:t>
      </w:r>
      <w:r w:rsidR="00317F8F">
        <w:t xml:space="preserve">ice sector and processed meats. </w:t>
      </w:r>
      <w:r w:rsidR="004B1E19">
        <w:t>Continued engag</w:t>
      </w:r>
      <w:r w:rsidR="00CD4DB2">
        <w:t>ement between the Forum and t</w:t>
      </w:r>
      <w:r w:rsidR="008526E8">
        <w:t>hese voluntary reformulation ac</w:t>
      </w:r>
      <w:r w:rsidR="00CD4DB2">
        <w:t xml:space="preserve">tivities should be </w:t>
      </w:r>
      <w:r w:rsidR="00894ED1">
        <w:t>proposed</w:t>
      </w:r>
      <w:r w:rsidR="00CD4DB2">
        <w:t xml:space="preserve"> to </w:t>
      </w:r>
      <w:r w:rsidR="00894ED1">
        <w:t xml:space="preserve">identify roles and responsibilities including the </w:t>
      </w:r>
      <w:r w:rsidR="00CD4DB2">
        <w:t>monitor</w:t>
      </w:r>
      <w:r w:rsidR="00894ED1">
        <w:t xml:space="preserve">ing of </w:t>
      </w:r>
      <w:r w:rsidR="00CD4DB2">
        <w:t>progress in the implementation of new and existing reformulation targets and identif</w:t>
      </w:r>
      <w:r w:rsidR="00894ED1">
        <w:t>ication of</w:t>
      </w:r>
      <w:r w:rsidR="00CD4DB2">
        <w:t xml:space="preserve"> areas where voluntary </w:t>
      </w:r>
      <w:r w:rsidR="008526E8">
        <w:t>reformulation</w:t>
      </w:r>
      <w:r w:rsidR="00CD4DB2">
        <w:t xml:space="preserve"> is and is not supporting </w:t>
      </w:r>
      <w:r w:rsidR="008526E8">
        <w:t>improvements</w:t>
      </w:r>
      <w:r w:rsidR="00CD4DB2">
        <w:t xml:space="preserve"> in public health outcomes</w:t>
      </w:r>
      <w:r w:rsidR="00894ED1">
        <w:t xml:space="preserve"> and where the Food </w:t>
      </w:r>
      <w:r w:rsidR="00A26BB3">
        <w:t>Regulatory</w:t>
      </w:r>
      <w:r w:rsidR="00894ED1">
        <w:t xml:space="preserve"> System can support with consideration of mandatory approaches</w:t>
      </w:r>
      <w:r w:rsidR="00CD4DB2">
        <w:t xml:space="preserve">. </w:t>
      </w:r>
    </w:p>
    <w:p w14:paraId="1C9664BB" w14:textId="255E5CB4" w:rsidR="00562BDF" w:rsidRPr="00EE1D43" w:rsidRDefault="00562BDF" w:rsidP="00562BDF">
      <w:r w:rsidRPr="00EE1D43">
        <w:rPr>
          <w:u w:val="single"/>
        </w:rPr>
        <w:t>Work to progress through the Food Regulation Policy Framework-</w:t>
      </w:r>
      <w:r w:rsidR="00FB5819">
        <w:t xml:space="preserve"> </w:t>
      </w:r>
      <w:r w:rsidR="004F79B7">
        <w:t>To inform t</w:t>
      </w:r>
      <w:r w:rsidR="00894ED1">
        <w:t xml:space="preserve">he development of a systems approach to </w:t>
      </w:r>
      <w:r w:rsidR="00894ED1" w:rsidRPr="001D2138">
        <w:rPr>
          <w:iCs/>
        </w:rPr>
        <w:t>implement effective strategies across the food system</w:t>
      </w:r>
      <w:r w:rsidR="00894ED1">
        <w:rPr>
          <w:iCs/>
        </w:rPr>
        <w:t xml:space="preserve"> to improve the composition of processed foods</w:t>
      </w:r>
      <w:r w:rsidR="00894ED1">
        <w:t xml:space="preserve">, two case studies on </w:t>
      </w:r>
      <w:r w:rsidR="00A26BB3">
        <w:t>sugary</w:t>
      </w:r>
      <w:r w:rsidR="004F79B7">
        <w:t xml:space="preserve"> drinks</w:t>
      </w:r>
      <w:r w:rsidR="00894ED1">
        <w:t xml:space="preserve"> and trans fats </w:t>
      </w:r>
      <w:r w:rsidR="00EF0221">
        <w:t>should</w:t>
      </w:r>
      <w:r w:rsidR="00894ED1">
        <w:t xml:space="preserve"> be co-progressed. </w:t>
      </w:r>
      <w:r w:rsidRPr="00EE1D43">
        <w:t xml:space="preserve">Options to improve the composition of the food supply in relation to </w:t>
      </w:r>
      <w:r w:rsidR="004F79B7">
        <w:t>sugary drinks</w:t>
      </w:r>
      <w:r w:rsidRPr="00EE1D43">
        <w:t xml:space="preserve"> and trans fats </w:t>
      </w:r>
      <w:r w:rsidR="004F79B7">
        <w:t>will</w:t>
      </w:r>
      <w:r w:rsidRPr="00EE1D43">
        <w:t xml:space="preserve"> be explored through the Food Regulation Policy Framework as two separate pieces of work. The work on </w:t>
      </w:r>
      <w:r w:rsidR="00A26BB3" w:rsidRPr="00EE1D43">
        <w:t>sugar</w:t>
      </w:r>
      <w:r w:rsidR="00A26BB3">
        <w:t>y</w:t>
      </w:r>
      <w:r w:rsidR="004F79B7">
        <w:t xml:space="preserve"> </w:t>
      </w:r>
      <w:r w:rsidR="00A26BB3">
        <w:t>drinks</w:t>
      </w:r>
      <w:r w:rsidR="00A26BB3" w:rsidRPr="00EE1D43">
        <w:t xml:space="preserve"> would</w:t>
      </w:r>
      <w:r w:rsidRPr="00EE1D43">
        <w:t xml:space="preserve"> be the priori</w:t>
      </w:r>
      <w:r w:rsidR="000F1209">
        <w:t>ty task.</w:t>
      </w:r>
    </w:p>
    <w:p w14:paraId="574C9225" w14:textId="35EE542D" w:rsidR="00562BDF" w:rsidRPr="00EE1D43" w:rsidRDefault="00526713" w:rsidP="00562BDF">
      <w:r w:rsidRPr="00EE1D43">
        <w:t>As part of this next step an</w:t>
      </w:r>
      <w:r w:rsidR="00562BDF" w:rsidRPr="00EE1D43">
        <w:t xml:space="preserve"> impact analysis</w:t>
      </w:r>
      <w:r w:rsidRPr="00EE1D43">
        <w:t xml:space="preserve"> would be undertaken</w:t>
      </w:r>
      <w:r w:rsidR="00562BDF" w:rsidRPr="00EE1D43">
        <w:t xml:space="preserve">. Issues to be explored would include </w:t>
      </w:r>
      <w:r w:rsidRPr="00EE1D43">
        <w:t xml:space="preserve">risks such as </w:t>
      </w:r>
      <w:r w:rsidR="00562BDF" w:rsidRPr="00EE1D43">
        <w:t>potential food safety issues associated with changing food composition (</w:t>
      </w:r>
      <w:proofErr w:type="gramStart"/>
      <w:r w:rsidR="00562BDF" w:rsidRPr="00EE1D43">
        <w:t>i.e.</w:t>
      </w:r>
      <w:proofErr w:type="gramEnd"/>
      <w:r w:rsidR="00562BDF" w:rsidRPr="00EE1D43">
        <w:t xml:space="preserve"> as sugar can have preservative proprieties</w:t>
      </w:r>
      <w:r w:rsidRPr="00EE1D43">
        <w:t xml:space="preserve"> and reducing sugar may increase microbiological risks</w:t>
      </w:r>
      <w:r w:rsidR="00562BDF" w:rsidRPr="00EE1D43">
        <w:t>)</w:t>
      </w:r>
      <w:r w:rsidR="00852BFB">
        <w:t>,</w:t>
      </w:r>
      <w:r w:rsidR="00562BDF" w:rsidRPr="00EE1D43">
        <w:t xml:space="preserve"> impacts of potential alternative ingredients that may be used </w:t>
      </w:r>
      <w:r w:rsidRPr="00EE1D43">
        <w:t xml:space="preserve">in place </w:t>
      </w:r>
      <w:r w:rsidRPr="00EE1D43">
        <w:lastRenderedPageBreak/>
        <w:t xml:space="preserve">of trans fats or sugar, </w:t>
      </w:r>
      <w:r w:rsidR="00562BDF" w:rsidRPr="00EE1D43">
        <w:t xml:space="preserve">and </w:t>
      </w:r>
      <w:r w:rsidRPr="00EE1D43">
        <w:t xml:space="preserve">potential </w:t>
      </w:r>
      <w:r w:rsidR="00562BDF" w:rsidRPr="00EE1D43">
        <w:t>trade and economic impacts</w:t>
      </w:r>
      <w:r w:rsidRPr="00EE1D43">
        <w:t xml:space="preserve"> if mandatory compositional limits were introduced</w:t>
      </w:r>
      <w:r w:rsidR="000F1209">
        <w:t>.</w:t>
      </w:r>
    </w:p>
    <w:p w14:paraId="791F2A57" w14:textId="7B9C93C7" w:rsidR="002C50DE" w:rsidRDefault="00CD4DB2" w:rsidP="002C50DE">
      <w:r w:rsidRPr="00CD4DB2">
        <w:t xml:space="preserve">A ‘Statement of the Problem’ to guide the work progressing through the Food Regulation Policy Framework is provided at </w:t>
      </w:r>
      <w:hyperlink w:anchor="_Appendix_4" w:history="1">
        <w:r w:rsidRPr="00FB5819">
          <w:rPr>
            <w:rStyle w:val="Hyperlink"/>
          </w:rPr>
          <w:t>Appendix 4</w:t>
        </w:r>
      </w:hyperlink>
      <w:r w:rsidRPr="00CD4DB2">
        <w:t xml:space="preserve">. </w:t>
      </w:r>
      <w:r w:rsidR="002C50DE">
        <w:br w:type="page"/>
      </w:r>
    </w:p>
    <w:p w14:paraId="5B236A42" w14:textId="71BDB60D" w:rsidR="00C06A59" w:rsidRDefault="00E14836" w:rsidP="00C06A59">
      <w:pPr>
        <w:pStyle w:val="Heading1"/>
      </w:pPr>
      <w:bookmarkStart w:id="90" w:name="_Toc49506075"/>
      <w:bookmarkStart w:id="91" w:name="_Toc49506923"/>
      <w:bookmarkStart w:id="92" w:name="_Toc54273236"/>
      <w:r>
        <w:lastRenderedPageBreak/>
        <w:t>Appendix 1</w:t>
      </w:r>
      <w:bookmarkEnd w:id="90"/>
      <w:bookmarkEnd w:id="91"/>
      <w:bookmarkEnd w:id="92"/>
    </w:p>
    <w:p w14:paraId="3BA831BC" w14:textId="13A5CFD9" w:rsidR="002C50DE" w:rsidRPr="00C06A59" w:rsidRDefault="002C50DE" w:rsidP="00C06A59">
      <w:pPr>
        <w:pStyle w:val="Heading2"/>
        <w:jc w:val="center"/>
      </w:pPr>
      <w:bookmarkStart w:id="93" w:name="_Toc49506076"/>
      <w:bookmarkStart w:id="94" w:name="_Toc49506924"/>
      <w:bookmarkStart w:id="95" w:name="_Toc54273237"/>
      <w:r w:rsidRPr="00C06A59">
        <w:t>Compositional limits internationally</w:t>
      </w:r>
      <w:r w:rsidRPr="00C06A59">
        <w:rPr>
          <w:rStyle w:val="FootnoteReference"/>
          <w:bCs/>
        </w:rPr>
        <w:footnoteReference w:id="179"/>
      </w:r>
      <w:bookmarkEnd w:id="93"/>
      <w:bookmarkEnd w:id="94"/>
      <w:bookmarkEnd w:id="95"/>
    </w:p>
    <w:tbl>
      <w:tblPr>
        <w:tblStyle w:val="TableGrid"/>
        <w:tblW w:w="0" w:type="auto"/>
        <w:tblLook w:val="04A0" w:firstRow="1" w:lastRow="0" w:firstColumn="1" w:lastColumn="0" w:noHBand="0" w:noVBand="1"/>
        <w:tblCaption w:val="Compositional limits internationally"/>
        <w:tblDescription w:val="Table with 2 columns. Row 1: Country. Row 2: Compositional limits. The information in the rows describe the compositional limits in place within the selected countries. "/>
      </w:tblPr>
      <w:tblGrid>
        <w:gridCol w:w="1555"/>
        <w:gridCol w:w="7461"/>
      </w:tblGrid>
      <w:tr w:rsidR="002C50DE" w14:paraId="1DD6D1F9" w14:textId="77777777" w:rsidTr="008C1500">
        <w:trPr>
          <w:tblHeader/>
        </w:trPr>
        <w:tc>
          <w:tcPr>
            <w:tcW w:w="1555" w:type="dxa"/>
          </w:tcPr>
          <w:p w14:paraId="3E88C2F4" w14:textId="77777777" w:rsidR="002C50DE" w:rsidRPr="00A826B9" w:rsidRDefault="002C50DE" w:rsidP="008B284F">
            <w:pPr>
              <w:rPr>
                <w:b/>
                <w:sz w:val="20"/>
                <w:szCs w:val="20"/>
              </w:rPr>
            </w:pPr>
            <w:r w:rsidRPr="00A826B9">
              <w:rPr>
                <w:b/>
                <w:sz w:val="20"/>
                <w:szCs w:val="20"/>
              </w:rPr>
              <w:t>Country</w:t>
            </w:r>
          </w:p>
        </w:tc>
        <w:tc>
          <w:tcPr>
            <w:tcW w:w="7461" w:type="dxa"/>
          </w:tcPr>
          <w:p w14:paraId="1FABD353" w14:textId="77777777" w:rsidR="002C50DE" w:rsidRPr="00A826B9" w:rsidRDefault="002C50DE" w:rsidP="008B284F">
            <w:pPr>
              <w:rPr>
                <w:b/>
                <w:sz w:val="20"/>
                <w:szCs w:val="20"/>
              </w:rPr>
            </w:pPr>
            <w:r w:rsidRPr="00A826B9">
              <w:rPr>
                <w:b/>
                <w:sz w:val="20"/>
                <w:szCs w:val="20"/>
              </w:rPr>
              <w:t>Compositional limits</w:t>
            </w:r>
          </w:p>
        </w:tc>
      </w:tr>
      <w:tr w:rsidR="002C50DE" w14:paraId="0B9764E4" w14:textId="77777777" w:rsidTr="008B284F">
        <w:tc>
          <w:tcPr>
            <w:tcW w:w="1555" w:type="dxa"/>
          </w:tcPr>
          <w:p w14:paraId="5542077C" w14:textId="77777777" w:rsidR="002C50DE" w:rsidRPr="00A826B9" w:rsidRDefault="002C50DE" w:rsidP="008B284F">
            <w:pPr>
              <w:rPr>
                <w:sz w:val="20"/>
                <w:szCs w:val="20"/>
              </w:rPr>
            </w:pPr>
            <w:r w:rsidRPr="00A826B9">
              <w:rPr>
                <w:sz w:val="20"/>
                <w:szCs w:val="20"/>
              </w:rPr>
              <w:t>Argentina</w:t>
            </w:r>
          </w:p>
        </w:tc>
        <w:tc>
          <w:tcPr>
            <w:tcW w:w="7461" w:type="dxa"/>
          </w:tcPr>
          <w:p w14:paraId="61260B91" w14:textId="77777777" w:rsidR="002C50DE" w:rsidRPr="00A826B9" w:rsidRDefault="002C50DE" w:rsidP="008B284F">
            <w:pPr>
              <w:rPr>
                <w:sz w:val="20"/>
                <w:szCs w:val="20"/>
              </w:rPr>
            </w:pPr>
            <w:r w:rsidRPr="00A826B9">
              <w:rPr>
                <w:sz w:val="20"/>
                <w:szCs w:val="20"/>
                <w:u w:val="single"/>
              </w:rPr>
              <w:t>Salt</w:t>
            </w:r>
            <w:r w:rsidRPr="00A826B9">
              <w:rPr>
                <w:sz w:val="20"/>
                <w:szCs w:val="20"/>
              </w:rPr>
              <w:t xml:space="preserve">- Mandatory maximum levels of sodium permitted in meat products and their derivatives, breads and farinaceous products, soups, seasoning mixes and tinned food. Also applicable to salt levels in restaurant dishes. Introduced in 2013, for implementation in 2014 or 2015 depending on the size of the business. </w:t>
            </w:r>
          </w:p>
          <w:p w14:paraId="2E68F54D" w14:textId="7770B006" w:rsidR="002C50DE" w:rsidRPr="00A826B9" w:rsidRDefault="002C50DE" w:rsidP="004B0842">
            <w:pPr>
              <w:rPr>
                <w:sz w:val="20"/>
                <w:szCs w:val="20"/>
              </w:rPr>
            </w:pPr>
            <w:r w:rsidRPr="00A826B9">
              <w:rPr>
                <w:sz w:val="20"/>
                <w:szCs w:val="20"/>
                <w:u w:val="single"/>
              </w:rPr>
              <w:t>Trans-fats-</w:t>
            </w:r>
            <w:r w:rsidRPr="00A826B9">
              <w:rPr>
                <w:sz w:val="20"/>
                <w:szCs w:val="20"/>
              </w:rPr>
              <w:t xml:space="preserve"> </w:t>
            </w:r>
            <w:proofErr w:type="spellStart"/>
            <w:r w:rsidRPr="00A826B9">
              <w:rPr>
                <w:sz w:val="20"/>
                <w:szCs w:val="20"/>
              </w:rPr>
              <w:t>Trans fat</w:t>
            </w:r>
            <w:proofErr w:type="spellEnd"/>
            <w:r w:rsidRPr="00A826B9">
              <w:rPr>
                <w:sz w:val="20"/>
                <w:szCs w:val="20"/>
              </w:rPr>
              <w:t xml:space="preserve"> content must not exceed 2% of total vegetable fats in oils and margarines, and 5% of total fat in all other food. Introduced in 201</w:t>
            </w:r>
            <w:r w:rsidR="004B0842">
              <w:rPr>
                <w:sz w:val="20"/>
                <w:szCs w:val="20"/>
              </w:rPr>
              <w:t>0 for implementation in 2014.</w:t>
            </w:r>
          </w:p>
        </w:tc>
      </w:tr>
      <w:tr w:rsidR="002C50DE" w14:paraId="31A103DE" w14:textId="77777777" w:rsidTr="008B284F">
        <w:tc>
          <w:tcPr>
            <w:tcW w:w="1555" w:type="dxa"/>
          </w:tcPr>
          <w:p w14:paraId="4A06311B" w14:textId="77777777" w:rsidR="002C50DE" w:rsidRPr="00A826B9" w:rsidRDefault="002C50DE" w:rsidP="008B284F">
            <w:pPr>
              <w:rPr>
                <w:sz w:val="20"/>
                <w:szCs w:val="20"/>
              </w:rPr>
            </w:pPr>
            <w:r w:rsidRPr="00A826B9">
              <w:rPr>
                <w:sz w:val="20"/>
                <w:szCs w:val="20"/>
              </w:rPr>
              <w:t>Austria</w:t>
            </w:r>
          </w:p>
        </w:tc>
        <w:tc>
          <w:tcPr>
            <w:tcW w:w="7461" w:type="dxa"/>
          </w:tcPr>
          <w:p w14:paraId="6A96AE13" w14:textId="77777777" w:rsidR="002C50DE" w:rsidRPr="00A826B9" w:rsidRDefault="002C50DE" w:rsidP="008B284F">
            <w:pPr>
              <w:rPr>
                <w:sz w:val="20"/>
                <w:szCs w:val="20"/>
              </w:rPr>
            </w:pPr>
            <w:r w:rsidRPr="00A826B9">
              <w:rPr>
                <w:sz w:val="20"/>
                <w:szCs w:val="20"/>
                <w:u w:val="single"/>
              </w:rPr>
              <w:t>Trans-fat-</w:t>
            </w:r>
            <w:r w:rsidRPr="00A826B9">
              <w:rPr>
                <w:sz w:val="20"/>
                <w:szCs w:val="20"/>
              </w:rPr>
              <w:t xml:space="preserve"> Limit on trans fats of 2g per 100g of a food item. If a food product is composed of various ingredients, the limit of trans fats is 4g per 100g if the total fat content of the product is less than 20%, and 10g per 100g if the total fat content of the food product does not exceed 3%. The regulation is not applicable to trans fats of animal origin. Introduced in 2009.</w:t>
            </w:r>
          </w:p>
        </w:tc>
      </w:tr>
      <w:tr w:rsidR="002C50DE" w14:paraId="6AA9A0B6" w14:textId="77777777" w:rsidTr="008B284F">
        <w:tc>
          <w:tcPr>
            <w:tcW w:w="1555" w:type="dxa"/>
          </w:tcPr>
          <w:p w14:paraId="091E23E2" w14:textId="77777777" w:rsidR="002C50DE" w:rsidRPr="00A826B9" w:rsidRDefault="002C50DE" w:rsidP="008B284F">
            <w:pPr>
              <w:rPr>
                <w:sz w:val="20"/>
                <w:szCs w:val="20"/>
              </w:rPr>
            </w:pPr>
            <w:r w:rsidRPr="00A826B9">
              <w:rPr>
                <w:sz w:val="20"/>
                <w:szCs w:val="20"/>
              </w:rPr>
              <w:t>Belgium</w:t>
            </w:r>
          </w:p>
        </w:tc>
        <w:tc>
          <w:tcPr>
            <w:tcW w:w="7461" w:type="dxa"/>
          </w:tcPr>
          <w:p w14:paraId="64534C79" w14:textId="77777777" w:rsidR="002C50DE" w:rsidRPr="00A826B9" w:rsidRDefault="002C50DE" w:rsidP="008B284F">
            <w:pPr>
              <w:rPr>
                <w:sz w:val="20"/>
                <w:szCs w:val="20"/>
              </w:rPr>
            </w:pPr>
            <w:r w:rsidRPr="00A826B9">
              <w:rPr>
                <w:sz w:val="20"/>
                <w:szCs w:val="20"/>
                <w:u w:val="single"/>
              </w:rPr>
              <w:t>Salt-</w:t>
            </w:r>
            <w:r w:rsidRPr="00A826B9">
              <w:rPr>
                <w:sz w:val="20"/>
                <w:szCs w:val="20"/>
              </w:rPr>
              <w:t xml:space="preserve"> 2% maximum salt content in bread since 1985.</w:t>
            </w:r>
          </w:p>
        </w:tc>
      </w:tr>
      <w:tr w:rsidR="002C50DE" w14:paraId="1FB1DAB7" w14:textId="77777777" w:rsidTr="008B284F">
        <w:tc>
          <w:tcPr>
            <w:tcW w:w="1555" w:type="dxa"/>
          </w:tcPr>
          <w:p w14:paraId="08874F65" w14:textId="77777777" w:rsidR="002C50DE" w:rsidRPr="00A826B9" w:rsidRDefault="002C50DE" w:rsidP="008B284F">
            <w:pPr>
              <w:rPr>
                <w:sz w:val="20"/>
                <w:szCs w:val="20"/>
              </w:rPr>
            </w:pPr>
            <w:r w:rsidRPr="00A826B9">
              <w:rPr>
                <w:sz w:val="20"/>
                <w:szCs w:val="20"/>
              </w:rPr>
              <w:t>Bulgaria</w:t>
            </w:r>
          </w:p>
        </w:tc>
        <w:tc>
          <w:tcPr>
            <w:tcW w:w="7461" w:type="dxa"/>
          </w:tcPr>
          <w:p w14:paraId="49FD9109" w14:textId="77777777" w:rsidR="002C50DE" w:rsidRPr="00A826B9" w:rsidRDefault="002C50DE" w:rsidP="008B284F">
            <w:pPr>
              <w:rPr>
                <w:sz w:val="20"/>
                <w:szCs w:val="20"/>
              </w:rPr>
            </w:pPr>
            <w:r w:rsidRPr="00A826B9">
              <w:rPr>
                <w:sz w:val="20"/>
                <w:szCs w:val="20"/>
                <w:u w:val="single"/>
              </w:rPr>
              <w:t>Salt-</w:t>
            </w:r>
            <w:r w:rsidRPr="00A826B9">
              <w:rPr>
                <w:sz w:val="20"/>
                <w:szCs w:val="20"/>
              </w:rPr>
              <w:t xml:space="preserve"> Mandatory maximum salt levels for breads, cheese, meat and poultry products, and </w:t>
            </w:r>
            <w:proofErr w:type="spellStart"/>
            <w:r w:rsidRPr="00A826B9">
              <w:rPr>
                <w:sz w:val="20"/>
                <w:szCs w:val="20"/>
              </w:rPr>
              <w:t>lutenica</w:t>
            </w:r>
            <w:proofErr w:type="spellEnd"/>
            <w:r w:rsidRPr="00A826B9">
              <w:rPr>
                <w:sz w:val="20"/>
                <w:szCs w:val="20"/>
              </w:rPr>
              <w:t xml:space="preserve"> (vegetable relish on tomato base).</w:t>
            </w:r>
          </w:p>
        </w:tc>
      </w:tr>
      <w:tr w:rsidR="002C50DE" w14:paraId="0559ED8D" w14:textId="77777777" w:rsidTr="008B284F">
        <w:tc>
          <w:tcPr>
            <w:tcW w:w="1555" w:type="dxa"/>
          </w:tcPr>
          <w:p w14:paraId="05206D29" w14:textId="77777777" w:rsidR="002C50DE" w:rsidRPr="00A826B9" w:rsidRDefault="002C50DE" w:rsidP="008B284F">
            <w:pPr>
              <w:rPr>
                <w:sz w:val="20"/>
                <w:szCs w:val="20"/>
              </w:rPr>
            </w:pPr>
            <w:r w:rsidRPr="00A826B9">
              <w:rPr>
                <w:sz w:val="20"/>
                <w:szCs w:val="20"/>
              </w:rPr>
              <w:t>Canada</w:t>
            </w:r>
          </w:p>
        </w:tc>
        <w:tc>
          <w:tcPr>
            <w:tcW w:w="7461" w:type="dxa"/>
          </w:tcPr>
          <w:p w14:paraId="480866BB" w14:textId="77777777" w:rsidR="002C50DE" w:rsidRPr="00A826B9" w:rsidRDefault="002C50DE" w:rsidP="008B284F">
            <w:pPr>
              <w:rPr>
                <w:sz w:val="20"/>
                <w:szCs w:val="20"/>
              </w:rPr>
            </w:pPr>
            <w:r w:rsidRPr="00A826B9">
              <w:rPr>
                <w:sz w:val="20"/>
                <w:szCs w:val="20"/>
                <w:u w:val="single"/>
              </w:rPr>
              <w:t>Trans-fat-</w:t>
            </w:r>
            <w:r w:rsidRPr="00A826B9">
              <w:rPr>
                <w:sz w:val="20"/>
                <w:szCs w:val="20"/>
              </w:rPr>
              <w:t xml:space="preserve"> Partially Hydrogenated Oils (PHOs) are included in the List of Contaminants and Other Adulterating Substances. This List is incorporated by reference in the Food and Drug Regulations, meaning that it has the force of law. This means that food producers, including manufacturers, restaurants and cafeterias, are not able to add PHOs to food products sold in Canada. The prohibition came into effect on 17 September 2018. </w:t>
            </w:r>
          </w:p>
        </w:tc>
      </w:tr>
      <w:tr w:rsidR="002C50DE" w14:paraId="6AFE9FDB" w14:textId="77777777" w:rsidTr="008B284F">
        <w:tc>
          <w:tcPr>
            <w:tcW w:w="1555" w:type="dxa"/>
          </w:tcPr>
          <w:p w14:paraId="65FAF6FD" w14:textId="77777777" w:rsidR="002C50DE" w:rsidRPr="00A826B9" w:rsidRDefault="002C50DE" w:rsidP="008B284F">
            <w:pPr>
              <w:rPr>
                <w:sz w:val="20"/>
                <w:szCs w:val="20"/>
              </w:rPr>
            </w:pPr>
            <w:r w:rsidRPr="00A826B9">
              <w:rPr>
                <w:sz w:val="20"/>
                <w:szCs w:val="20"/>
              </w:rPr>
              <w:t>Colombia</w:t>
            </w:r>
          </w:p>
        </w:tc>
        <w:tc>
          <w:tcPr>
            <w:tcW w:w="7461" w:type="dxa"/>
          </w:tcPr>
          <w:p w14:paraId="67E22DA9" w14:textId="77777777" w:rsidR="002C50DE" w:rsidRPr="00A826B9" w:rsidRDefault="002C50DE" w:rsidP="008B284F">
            <w:pPr>
              <w:rPr>
                <w:sz w:val="20"/>
                <w:szCs w:val="20"/>
                <w:u w:val="single"/>
              </w:rPr>
            </w:pPr>
            <w:r w:rsidRPr="00A826B9">
              <w:rPr>
                <w:sz w:val="20"/>
                <w:szCs w:val="20"/>
                <w:u w:val="single"/>
              </w:rPr>
              <w:t>Trans fat-</w:t>
            </w:r>
            <w:r w:rsidRPr="00A826B9">
              <w:rPr>
                <w:sz w:val="20"/>
                <w:szCs w:val="20"/>
              </w:rPr>
              <w:t xml:space="preserve"> Limit on the content of trans fat in fats, vegetable oils and margarines that are sold directly to the consumer. Those products cannot exceed 2g of trans fat per 100g of fat. The </w:t>
            </w:r>
            <w:proofErr w:type="spellStart"/>
            <w:r w:rsidRPr="00A826B9">
              <w:rPr>
                <w:sz w:val="20"/>
                <w:szCs w:val="20"/>
              </w:rPr>
              <w:t>trans fat</w:t>
            </w:r>
            <w:proofErr w:type="spellEnd"/>
            <w:r w:rsidRPr="00A826B9">
              <w:rPr>
                <w:sz w:val="20"/>
                <w:szCs w:val="20"/>
              </w:rPr>
              <w:t xml:space="preserve"> content of fats and oils used as raw material or in bakeries, restaurants or catering services cannot exceed 5g of trans fat per 100g of material grease. The </w:t>
            </w:r>
            <w:proofErr w:type="spellStart"/>
            <w:r w:rsidRPr="00A826B9">
              <w:rPr>
                <w:sz w:val="20"/>
                <w:szCs w:val="20"/>
              </w:rPr>
              <w:t>trans fat</w:t>
            </w:r>
            <w:proofErr w:type="spellEnd"/>
            <w:r w:rsidRPr="00A826B9">
              <w:rPr>
                <w:sz w:val="20"/>
                <w:szCs w:val="20"/>
              </w:rPr>
              <w:t xml:space="preserve"> content naturally present in animal fats or dairy products are not subject to the restrictions. Introduced on 30 August 2012.</w:t>
            </w:r>
          </w:p>
        </w:tc>
      </w:tr>
      <w:tr w:rsidR="002C50DE" w14:paraId="216BE01F" w14:textId="77777777" w:rsidTr="008B284F">
        <w:tc>
          <w:tcPr>
            <w:tcW w:w="1555" w:type="dxa"/>
          </w:tcPr>
          <w:p w14:paraId="4547913D" w14:textId="77777777" w:rsidR="002C50DE" w:rsidRPr="00A826B9" w:rsidRDefault="002C50DE" w:rsidP="008B284F">
            <w:pPr>
              <w:rPr>
                <w:sz w:val="20"/>
                <w:szCs w:val="20"/>
              </w:rPr>
            </w:pPr>
            <w:r w:rsidRPr="00A826B9">
              <w:rPr>
                <w:sz w:val="20"/>
                <w:szCs w:val="20"/>
              </w:rPr>
              <w:t>Chile</w:t>
            </w:r>
          </w:p>
        </w:tc>
        <w:tc>
          <w:tcPr>
            <w:tcW w:w="7461" w:type="dxa"/>
          </w:tcPr>
          <w:p w14:paraId="659BB497" w14:textId="77777777" w:rsidR="002C50DE" w:rsidRPr="00A826B9" w:rsidRDefault="002C50DE" w:rsidP="008B284F">
            <w:pPr>
              <w:rPr>
                <w:sz w:val="20"/>
                <w:szCs w:val="20"/>
              </w:rPr>
            </w:pPr>
            <w:r w:rsidRPr="00A826B9">
              <w:rPr>
                <w:sz w:val="20"/>
                <w:szCs w:val="20"/>
                <w:u w:val="single"/>
              </w:rPr>
              <w:t>Trans-fat-</w:t>
            </w:r>
            <w:r w:rsidRPr="00A826B9">
              <w:rPr>
                <w:sz w:val="20"/>
                <w:szCs w:val="20"/>
              </w:rPr>
              <w:t xml:space="preserve"> The content of trans fats of industrial origin should not exceed 2% of total fat content in all products. This regulation is now fully in force, following a </w:t>
            </w:r>
            <w:proofErr w:type="gramStart"/>
            <w:r w:rsidRPr="00A826B9">
              <w:rPr>
                <w:sz w:val="20"/>
                <w:szCs w:val="20"/>
              </w:rPr>
              <w:t>five year</w:t>
            </w:r>
            <w:proofErr w:type="gramEnd"/>
            <w:r w:rsidRPr="00A826B9">
              <w:rPr>
                <w:sz w:val="20"/>
                <w:szCs w:val="20"/>
              </w:rPr>
              <w:t xml:space="preserve"> implementation period.</w:t>
            </w:r>
          </w:p>
        </w:tc>
      </w:tr>
      <w:tr w:rsidR="002C50DE" w14:paraId="66A398ED" w14:textId="77777777" w:rsidTr="008B284F">
        <w:tc>
          <w:tcPr>
            <w:tcW w:w="1555" w:type="dxa"/>
          </w:tcPr>
          <w:p w14:paraId="4281C1E1" w14:textId="77777777" w:rsidR="002C50DE" w:rsidRPr="00A826B9" w:rsidRDefault="002C50DE" w:rsidP="008B284F">
            <w:pPr>
              <w:rPr>
                <w:sz w:val="20"/>
                <w:szCs w:val="20"/>
              </w:rPr>
            </w:pPr>
            <w:r w:rsidRPr="00A826B9">
              <w:rPr>
                <w:sz w:val="20"/>
                <w:szCs w:val="20"/>
              </w:rPr>
              <w:t>Ecuador</w:t>
            </w:r>
          </w:p>
        </w:tc>
        <w:tc>
          <w:tcPr>
            <w:tcW w:w="7461" w:type="dxa"/>
          </w:tcPr>
          <w:p w14:paraId="06F7AC8F" w14:textId="3AF6983A" w:rsidR="002C50DE" w:rsidRPr="00A826B9" w:rsidRDefault="002C50DE" w:rsidP="008B284F">
            <w:pPr>
              <w:rPr>
                <w:sz w:val="20"/>
                <w:szCs w:val="20"/>
              </w:rPr>
            </w:pPr>
            <w:r w:rsidRPr="00A826B9">
              <w:rPr>
                <w:sz w:val="20"/>
                <w:szCs w:val="20"/>
                <w:u w:val="single"/>
              </w:rPr>
              <w:t>Trans-fat-</w:t>
            </w:r>
            <w:r w:rsidRPr="00A826B9">
              <w:rPr>
                <w:sz w:val="20"/>
                <w:szCs w:val="20"/>
              </w:rPr>
              <w:t xml:space="preserve"> Limit the amount of trans fats that edible oils, margarines and confectionery products can have, both sold directly to the consumer and for those used as raw material and inputs in the food industry (</w:t>
            </w:r>
            <w:proofErr w:type="gramStart"/>
            <w:r w:rsidR="00BF11FC">
              <w:rPr>
                <w:sz w:val="20"/>
                <w:szCs w:val="20"/>
              </w:rPr>
              <w:t>e.g.</w:t>
            </w:r>
            <w:proofErr w:type="gramEnd"/>
            <w:r w:rsidRPr="00A826B9">
              <w:rPr>
                <w:sz w:val="20"/>
                <w:szCs w:val="20"/>
              </w:rPr>
              <w:t xml:space="preserve"> bakeries, restaurants or food services (catering). The limit established for these products is 2g of trans fat per 100g of fat. Introduced in 2013. </w:t>
            </w:r>
          </w:p>
        </w:tc>
      </w:tr>
      <w:tr w:rsidR="002C50DE" w14:paraId="4150AA90" w14:textId="77777777" w:rsidTr="008B284F">
        <w:tc>
          <w:tcPr>
            <w:tcW w:w="1555" w:type="dxa"/>
          </w:tcPr>
          <w:p w14:paraId="2D2EB808" w14:textId="77777777" w:rsidR="002C50DE" w:rsidRPr="00A826B9" w:rsidRDefault="002C50DE" w:rsidP="008B284F">
            <w:pPr>
              <w:rPr>
                <w:sz w:val="20"/>
                <w:szCs w:val="20"/>
              </w:rPr>
            </w:pPr>
            <w:r w:rsidRPr="00A826B9">
              <w:rPr>
                <w:sz w:val="20"/>
                <w:szCs w:val="20"/>
              </w:rPr>
              <w:t>Greece</w:t>
            </w:r>
          </w:p>
        </w:tc>
        <w:tc>
          <w:tcPr>
            <w:tcW w:w="7461" w:type="dxa"/>
          </w:tcPr>
          <w:p w14:paraId="7456CF03" w14:textId="77777777" w:rsidR="002C50DE" w:rsidRPr="00A826B9" w:rsidRDefault="002C50DE" w:rsidP="008B284F">
            <w:pPr>
              <w:rPr>
                <w:sz w:val="20"/>
                <w:szCs w:val="20"/>
              </w:rPr>
            </w:pPr>
            <w:r w:rsidRPr="00A826B9">
              <w:rPr>
                <w:sz w:val="20"/>
                <w:szCs w:val="20"/>
                <w:u w:val="single"/>
              </w:rPr>
              <w:t>Salt-</w:t>
            </w:r>
            <w:r w:rsidRPr="00A826B9">
              <w:rPr>
                <w:sz w:val="20"/>
                <w:szCs w:val="20"/>
              </w:rPr>
              <w:t xml:space="preserve"> Mandatory maximum levels of salt permitted in bread, tomato juice and tomato concentrates/purees, in place since 1971.</w:t>
            </w:r>
          </w:p>
        </w:tc>
      </w:tr>
      <w:tr w:rsidR="002C50DE" w14:paraId="3FE3E21B" w14:textId="77777777" w:rsidTr="008B284F">
        <w:tc>
          <w:tcPr>
            <w:tcW w:w="1555" w:type="dxa"/>
          </w:tcPr>
          <w:p w14:paraId="4EAC358C" w14:textId="77777777" w:rsidR="002C50DE" w:rsidRPr="00A826B9" w:rsidRDefault="002C50DE" w:rsidP="008B284F">
            <w:pPr>
              <w:rPr>
                <w:sz w:val="20"/>
                <w:szCs w:val="20"/>
              </w:rPr>
            </w:pPr>
            <w:r w:rsidRPr="00A826B9">
              <w:rPr>
                <w:sz w:val="20"/>
                <w:szCs w:val="20"/>
              </w:rPr>
              <w:t>Hungary</w:t>
            </w:r>
          </w:p>
        </w:tc>
        <w:tc>
          <w:tcPr>
            <w:tcW w:w="7461" w:type="dxa"/>
          </w:tcPr>
          <w:p w14:paraId="3F8F1087" w14:textId="77777777" w:rsidR="002C50DE" w:rsidRPr="00A826B9" w:rsidRDefault="002C50DE" w:rsidP="008B284F">
            <w:pPr>
              <w:tabs>
                <w:tab w:val="left" w:pos="1125"/>
              </w:tabs>
              <w:rPr>
                <w:sz w:val="20"/>
                <w:szCs w:val="20"/>
              </w:rPr>
            </w:pPr>
            <w:r w:rsidRPr="00A826B9">
              <w:rPr>
                <w:sz w:val="20"/>
                <w:szCs w:val="20"/>
                <w:u w:val="single"/>
              </w:rPr>
              <w:t>Salt-</w:t>
            </w:r>
            <w:r w:rsidRPr="00A826B9">
              <w:rPr>
                <w:sz w:val="20"/>
                <w:szCs w:val="20"/>
              </w:rPr>
              <w:t xml:space="preserve"> Maximum salt levels in bread: &lt;1.67g salt/100g bread from 1 January 2015 and &lt;1.57g salt/100g bread from 1 January 2018.</w:t>
            </w:r>
          </w:p>
          <w:p w14:paraId="56C432F6" w14:textId="77777777" w:rsidR="002C50DE" w:rsidRPr="00A826B9" w:rsidRDefault="002C50DE" w:rsidP="008B284F">
            <w:pPr>
              <w:tabs>
                <w:tab w:val="left" w:pos="1125"/>
              </w:tabs>
              <w:rPr>
                <w:sz w:val="20"/>
                <w:szCs w:val="20"/>
              </w:rPr>
            </w:pPr>
            <w:r w:rsidRPr="00A826B9">
              <w:rPr>
                <w:sz w:val="20"/>
                <w:szCs w:val="20"/>
                <w:u w:val="single"/>
              </w:rPr>
              <w:lastRenderedPageBreak/>
              <w:t>Trans fat-</w:t>
            </w:r>
            <w:r w:rsidRPr="00A826B9">
              <w:rPr>
                <w:sz w:val="20"/>
                <w:szCs w:val="20"/>
              </w:rPr>
              <w:t xml:space="preserve"> Limit of 2g </w:t>
            </w:r>
            <w:proofErr w:type="spellStart"/>
            <w:r w:rsidRPr="00A826B9">
              <w:rPr>
                <w:sz w:val="20"/>
                <w:szCs w:val="20"/>
              </w:rPr>
              <w:t>trans fat</w:t>
            </w:r>
            <w:proofErr w:type="spellEnd"/>
            <w:r w:rsidRPr="00A826B9">
              <w:rPr>
                <w:sz w:val="20"/>
                <w:szCs w:val="20"/>
              </w:rPr>
              <w:t xml:space="preserve"> per 100g of total fat content. In the case of processed multi-ingredient food, the limit depends on the percentage total fat content: food containing less than 20% total fat have a </w:t>
            </w:r>
            <w:proofErr w:type="spellStart"/>
            <w:r w:rsidRPr="00A826B9">
              <w:rPr>
                <w:sz w:val="20"/>
                <w:szCs w:val="20"/>
              </w:rPr>
              <w:t>trans fat</w:t>
            </w:r>
            <w:proofErr w:type="spellEnd"/>
            <w:r w:rsidRPr="00A826B9">
              <w:rPr>
                <w:sz w:val="20"/>
                <w:szCs w:val="20"/>
              </w:rPr>
              <w:t xml:space="preserve"> limit of 4g per 100g of fat; for food containing less than 3% total fat the </w:t>
            </w:r>
            <w:proofErr w:type="spellStart"/>
            <w:r w:rsidRPr="00A826B9">
              <w:rPr>
                <w:sz w:val="20"/>
                <w:szCs w:val="20"/>
              </w:rPr>
              <w:t>trans fat</w:t>
            </w:r>
            <w:proofErr w:type="spellEnd"/>
            <w:r w:rsidRPr="00A826B9">
              <w:rPr>
                <w:sz w:val="20"/>
                <w:szCs w:val="20"/>
              </w:rPr>
              <w:t xml:space="preserve"> limit is 10g per 100g. Introduced in 2013. </w:t>
            </w:r>
          </w:p>
        </w:tc>
      </w:tr>
      <w:tr w:rsidR="002C50DE" w14:paraId="5FD4CC11" w14:textId="77777777" w:rsidTr="008B284F">
        <w:tc>
          <w:tcPr>
            <w:tcW w:w="1555" w:type="dxa"/>
          </w:tcPr>
          <w:p w14:paraId="2465FE60" w14:textId="77777777" w:rsidR="002C50DE" w:rsidRPr="00A826B9" w:rsidRDefault="002C50DE" w:rsidP="008B284F">
            <w:pPr>
              <w:rPr>
                <w:sz w:val="20"/>
                <w:szCs w:val="20"/>
              </w:rPr>
            </w:pPr>
            <w:r w:rsidRPr="00A826B9">
              <w:rPr>
                <w:sz w:val="20"/>
                <w:szCs w:val="20"/>
              </w:rPr>
              <w:lastRenderedPageBreak/>
              <w:t>Iceland</w:t>
            </w:r>
          </w:p>
        </w:tc>
        <w:tc>
          <w:tcPr>
            <w:tcW w:w="7461" w:type="dxa"/>
          </w:tcPr>
          <w:p w14:paraId="77DC772C" w14:textId="77777777" w:rsidR="002C50DE" w:rsidRPr="00A826B9" w:rsidRDefault="002C50DE" w:rsidP="008B284F">
            <w:pPr>
              <w:rPr>
                <w:sz w:val="20"/>
                <w:szCs w:val="20"/>
                <w:u w:val="single"/>
              </w:rPr>
            </w:pPr>
            <w:r w:rsidRPr="006A7549">
              <w:rPr>
                <w:sz w:val="20"/>
                <w:szCs w:val="20"/>
                <w:u w:val="single"/>
              </w:rPr>
              <w:t>Trans fat -</w:t>
            </w:r>
            <w:r w:rsidRPr="00A826B9">
              <w:rPr>
                <w:sz w:val="20"/>
                <w:szCs w:val="20"/>
              </w:rPr>
              <w:t xml:space="preserve"> limit of 2g per 100g of total fat content</w:t>
            </w:r>
          </w:p>
        </w:tc>
      </w:tr>
      <w:tr w:rsidR="002C50DE" w14:paraId="11911847" w14:textId="77777777" w:rsidTr="008B284F">
        <w:tc>
          <w:tcPr>
            <w:tcW w:w="1555" w:type="dxa"/>
          </w:tcPr>
          <w:p w14:paraId="01A59666" w14:textId="77777777" w:rsidR="002C50DE" w:rsidRPr="00A826B9" w:rsidRDefault="002C50DE" w:rsidP="008B284F">
            <w:pPr>
              <w:rPr>
                <w:sz w:val="20"/>
                <w:szCs w:val="20"/>
              </w:rPr>
            </w:pPr>
            <w:r w:rsidRPr="00A826B9">
              <w:rPr>
                <w:sz w:val="20"/>
                <w:szCs w:val="20"/>
              </w:rPr>
              <w:t>India</w:t>
            </w:r>
          </w:p>
        </w:tc>
        <w:tc>
          <w:tcPr>
            <w:tcW w:w="7461" w:type="dxa"/>
          </w:tcPr>
          <w:p w14:paraId="488781F3" w14:textId="77777777" w:rsidR="002C50DE" w:rsidRPr="00A826B9" w:rsidRDefault="002C50DE" w:rsidP="008B284F">
            <w:pPr>
              <w:rPr>
                <w:sz w:val="20"/>
                <w:szCs w:val="20"/>
              </w:rPr>
            </w:pPr>
            <w:r w:rsidRPr="00A826B9">
              <w:rPr>
                <w:sz w:val="20"/>
                <w:szCs w:val="20"/>
                <w:u w:val="single"/>
              </w:rPr>
              <w:t>Trans fat-</w:t>
            </w:r>
            <w:r w:rsidRPr="00A826B9">
              <w:rPr>
                <w:sz w:val="20"/>
                <w:szCs w:val="20"/>
              </w:rPr>
              <w:t xml:space="preserve"> Maximum permitted amount of 5% for </w:t>
            </w:r>
            <w:proofErr w:type="spellStart"/>
            <w:r w:rsidRPr="00A826B9">
              <w:rPr>
                <w:sz w:val="20"/>
                <w:szCs w:val="20"/>
              </w:rPr>
              <w:t>trans fat</w:t>
            </w:r>
            <w:proofErr w:type="spellEnd"/>
            <w:r w:rsidRPr="00A826B9">
              <w:rPr>
                <w:sz w:val="20"/>
                <w:szCs w:val="20"/>
              </w:rPr>
              <w:t xml:space="preserve"> content in edible fats and oils, including hydrogenated vegetable oils, margarine and fat spreads. Came into effect in 2017 (previous limit was 10%).</w:t>
            </w:r>
          </w:p>
        </w:tc>
      </w:tr>
      <w:tr w:rsidR="002C50DE" w14:paraId="6C6B8646" w14:textId="77777777" w:rsidTr="008B284F">
        <w:tc>
          <w:tcPr>
            <w:tcW w:w="1555" w:type="dxa"/>
          </w:tcPr>
          <w:p w14:paraId="065D284C" w14:textId="77777777" w:rsidR="002C50DE" w:rsidRPr="00A826B9" w:rsidRDefault="002C50DE" w:rsidP="008B284F">
            <w:pPr>
              <w:rPr>
                <w:sz w:val="20"/>
                <w:szCs w:val="20"/>
              </w:rPr>
            </w:pPr>
            <w:r w:rsidRPr="00A826B9">
              <w:rPr>
                <w:sz w:val="20"/>
                <w:szCs w:val="20"/>
              </w:rPr>
              <w:t>Iran</w:t>
            </w:r>
          </w:p>
        </w:tc>
        <w:tc>
          <w:tcPr>
            <w:tcW w:w="7461" w:type="dxa"/>
          </w:tcPr>
          <w:p w14:paraId="3EDFB08B" w14:textId="77777777" w:rsidR="002C50DE" w:rsidRPr="00A826B9" w:rsidRDefault="002C50DE" w:rsidP="008B284F">
            <w:pPr>
              <w:rPr>
                <w:sz w:val="20"/>
                <w:szCs w:val="20"/>
              </w:rPr>
            </w:pPr>
            <w:r w:rsidRPr="00A826B9">
              <w:rPr>
                <w:sz w:val="20"/>
                <w:szCs w:val="20"/>
                <w:u w:val="single"/>
              </w:rPr>
              <w:t>Salt-</w:t>
            </w:r>
            <w:r w:rsidRPr="00A826B9">
              <w:rPr>
                <w:sz w:val="20"/>
                <w:szCs w:val="20"/>
              </w:rPr>
              <w:t xml:space="preserve"> Limits on salt content of select food groups, including snacks (1.5%); canned tomato paste (2%); potato chips (1%) and bread (1.8%).</w:t>
            </w:r>
          </w:p>
          <w:p w14:paraId="495C13AC" w14:textId="77777777" w:rsidR="002C50DE" w:rsidRPr="00A826B9" w:rsidRDefault="002C50DE" w:rsidP="008B284F">
            <w:pPr>
              <w:rPr>
                <w:sz w:val="20"/>
                <w:szCs w:val="20"/>
              </w:rPr>
            </w:pPr>
            <w:r w:rsidRPr="00A826B9">
              <w:rPr>
                <w:sz w:val="20"/>
                <w:szCs w:val="20"/>
                <w:u w:val="single"/>
              </w:rPr>
              <w:t>Trans fat-</w:t>
            </w:r>
            <w:r w:rsidRPr="00A826B9">
              <w:rPr>
                <w:sz w:val="20"/>
                <w:szCs w:val="20"/>
              </w:rPr>
              <w:t xml:space="preserve"> Limit of &lt;2% </w:t>
            </w:r>
            <w:proofErr w:type="spellStart"/>
            <w:r w:rsidRPr="00A826B9">
              <w:rPr>
                <w:sz w:val="20"/>
                <w:szCs w:val="20"/>
              </w:rPr>
              <w:t>trans fat</w:t>
            </w:r>
            <w:proofErr w:type="spellEnd"/>
            <w:r w:rsidRPr="00A826B9">
              <w:rPr>
                <w:sz w:val="20"/>
                <w:szCs w:val="20"/>
              </w:rPr>
              <w:t xml:space="preserve"> content for corn oil, palm oil, frying oil and mixed liquid oils. Compliance required by 2016. </w:t>
            </w:r>
          </w:p>
        </w:tc>
      </w:tr>
      <w:tr w:rsidR="002C50DE" w14:paraId="353C5575" w14:textId="77777777" w:rsidTr="008B284F">
        <w:tc>
          <w:tcPr>
            <w:tcW w:w="1555" w:type="dxa"/>
          </w:tcPr>
          <w:p w14:paraId="740B0EA2" w14:textId="77777777" w:rsidR="002C50DE" w:rsidRPr="00A826B9" w:rsidRDefault="002C50DE" w:rsidP="008B284F">
            <w:pPr>
              <w:rPr>
                <w:sz w:val="20"/>
                <w:szCs w:val="20"/>
              </w:rPr>
            </w:pPr>
            <w:r w:rsidRPr="00A826B9">
              <w:rPr>
                <w:sz w:val="20"/>
                <w:szCs w:val="20"/>
              </w:rPr>
              <w:t>Latvia</w:t>
            </w:r>
          </w:p>
        </w:tc>
        <w:tc>
          <w:tcPr>
            <w:tcW w:w="7461" w:type="dxa"/>
          </w:tcPr>
          <w:p w14:paraId="673D4992" w14:textId="77777777" w:rsidR="002C50DE" w:rsidRPr="00A826B9" w:rsidRDefault="002C50DE" w:rsidP="008B284F">
            <w:pPr>
              <w:tabs>
                <w:tab w:val="left" w:pos="1695"/>
              </w:tabs>
              <w:rPr>
                <w:sz w:val="20"/>
                <w:szCs w:val="20"/>
              </w:rPr>
            </w:pPr>
            <w:r w:rsidRPr="00A826B9">
              <w:rPr>
                <w:sz w:val="20"/>
                <w:szCs w:val="20"/>
                <w:u w:val="single"/>
              </w:rPr>
              <w:t>Trans fat-</w:t>
            </w:r>
            <w:r w:rsidRPr="00A826B9">
              <w:rPr>
                <w:sz w:val="20"/>
                <w:szCs w:val="20"/>
              </w:rPr>
              <w:t xml:space="preserve"> Limits the content of trans fats in food items to 2g per 100g of the total fat. Applies to products produced and/or sold in in Latvia, including those in public catering establishments. In products where total fat content is less than 3%, trans fat may not exceed 10g per 100g of total fat content, and where total fat content is between 3–20%, trans fats may not exceed 4g per 100g of total fat content. Compliance required by 2018. </w:t>
            </w:r>
          </w:p>
        </w:tc>
      </w:tr>
      <w:tr w:rsidR="002C50DE" w14:paraId="5A8F7D64" w14:textId="77777777" w:rsidTr="008B284F">
        <w:tc>
          <w:tcPr>
            <w:tcW w:w="1555" w:type="dxa"/>
          </w:tcPr>
          <w:p w14:paraId="66A7472A" w14:textId="77777777" w:rsidR="002C50DE" w:rsidRPr="00A826B9" w:rsidRDefault="002C50DE" w:rsidP="008B284F">
            <w:pPr>
              <w:rPr>
                <w:sz w:val="20"/>
                <w:szCs w:val="20"/>
              </w:rPr>
            </w:pPr>
            <w:r w:rsidRPr="00A826B9">
              <w:rPr>
                <w:sz w:val="20"/>
                <w:szCs w:val="20"/>
              </w:rPr>
              <w:t>Netherlands</w:t>
            </w:r>
          </w:p>
        </w:tc>
        <w:tc>
          <w:tcPr>
            <w:tcW w:w="7461" w:type="dxa"/>
          </w:tcPr>
          <w:p w14:paraId="3A61F20C" w14:textId="77777777" w:rsidR="002C50DE" w:rsidRPr="00A826B9" w:rsidRDefault="002C50DE" w:rsidP="008B284F">
            <w:pPr>
              <w:tabs>
                <w:tab w:val="left" w:pos="1695"/>
              </w:tabs>
              <w:rPr>
                <w:sz w:val="20"/>
                <w:szCs w:val="20"/>
              </w:rPr>
            </w:pPr>
            <w:r w:rsidRPr="00A826B9">
              <w:rPr>
                <w:sz w:val="20"/>
                <w:szCs w:val="20"/>
                <w:u w:val="single"/>
              </w:rPr>
              <w:t>Salt-</w:t>
            </w:r>
            <w:r w:rsidRPr="00A826B9">
              <w:rPr>
                <w:sz w:val="20"/>
                <w:szCs w:val="20"/>
              </w:rPr>
              <w:t xml:space="preserve"> Limits of 1.8g salt per 100g dry matter for bread since 2013. The maximum level of salt in bread has gradually decreased over time (2.5% in 2009, 2.1% in 2011, 1.9% in 2012).</w:t>
            </w:r>
          </w:p>
        </w:tc>
      </w:tr>
      <w:tr w:rsidR="002C50DE" w14:paraId="45D941B4" w14:textId="77777777" w:rsidTr="008B284F">
        <w:tc>
          <w:tcPr>
            <w:tcW w:w="1555" w:type="dxa"/>
          </w:tcPr>
          <w:p w14:paraId="4DCA46A9" w14:textId="77777777" w:rsidR="002C50DE" w:rsidRPr="00A826B9" w:rsidRDefault="002C50DE" w:rsidP="008B284F">
            <w:pPr>
              <w:rPr>
                <w:sz w:val="20"/>
                <w:szCs w:val="20"/>
              </w:rPr>
            </w:pPr>
            <w:r w:rsidRPr="00A826B9">
              <w:rPr>
                <w:sz w:val="20"/>
                <w:szCs w:val="20"/>
              </w:rPr>
              <w:t>Norway</w:t>
            </w:r>
          </w:p>
        </w:tc>
        <w:tc>
          <w:tcPr>
            <w:tcW w:w="7461" w:type="dxa"/>
          </w:tcPr>
          <w:p w14:paraId="6405995C" w14:textId="77777777" w:rsidR="002C50DE" w:rsidRPr="00A826B9" w:rsidRDefault="002C50DE" w:rsidP="008B284F">
            <w:pPr>
              <w:tabs>
                <w:tab w:val="left" w:pos="1695"/>
              </w:tabs>
              <w:rPr>
                <w:sz w:val="20"/>
                <w:szCs w:val="20"/>
              </w:rPr>
            </w:pPr>
            <w:r w:rsidRPr="00A826B9">
              <w:rPr>
                <w:sz w:val="20"/>
                <w:szCs w:val="20"/>
                <w:u w:val="single"/>
              </w:rPr>
              <w:t>Trans fats-</w:t>
            </w:r>
            <w:r w:rsidRPr="00A826B9">
              <w:rPr>
                <w:sz w:val="20"/>
                <w:szCs w:val="20"/>
              </w:rPr>
              <w:t xml:space="preserve"> Sale of fats or food with fats that contains more than 2g of trans fats per 100g of fat prohibited, in effect since January 2014. The regulation does not apply to naturally occurring trans fats.</w:t>
            </w:r>
          </w:p>
        </w:tc>
      </w:tr>
      <w:tr w:rsidR="002C50DE" w14:paraId="0A282676" w14:textId="77777777" w:rsidTr="008B284F">
        <w:tc>
          <w:tcPr>
            <w:tcW w:w="1555" w:type="dxa"/>
          </w:tcPr>
          <w:p w14:paraId="3ABA63B8" w14:textId="77777777" w:rsidR="002C50DE" w:rsidRPr="00A826B9" w:rsidRDefault="002C50DE" w:rsidP="008B284F">
            <w:pPr>
              <w:rPr>
                <w:sz w:val="20"/>
                <w:szCs w:val="20"/>
              </w:rPr>
            </w:pPr>
            <w:r w:rsidRPr="00A826B9">
              <w:rPr>
                <w:sz w:val="20"/>
                <w:szCs w:val="20"/>
              </w:rPr>
              <w:t>Paraguay</w:t>
            </w:r>
          </w:p>
        </w:tc>
        <w:tc>
          <w:tcPr>
            <w:tcW w:w="7461" w:type="dxa"/>
          </w:tcPr>
          <w:p w14:paraId="1B904EB5" w14:textId="199C9428" w:rsidR="002C50DE" w:rsidRPr="00A826B9" w:rsidRDefault="002C50DE" w:rsidP="004B0842">
            <w:pPr>
              <w:rPr>
                <w:sz w:val="20"/>
                <w:szCs w:val="20"/>
              </w:rPr>
            </w:pPr>
            <w:r w:rsidRPr="00A826B9">
              <w:rPr>
                <w:sz w:val="20"/>
                <w:szCs w:val="20"/>
                <w:u w:val="single"/>
              </w:rPr>
              <w:t>Salt-</w:t>
            </w:r>
            <w:r w:rsidRPr="00A826B9">
              <w:rPr>
                <w:sz w:val="20"/>
                <w:szCs w:val="20"/>
              </w:rPr>
              <w:t xml:space="preserve"> Mandatory reduction of 25% of salt content in wheat flour used in widely consumed breads and farinaceous products (from 2g salt/100g to 1.5g salt/100g), introduced in 2013.</w:t>
            </w:r>
          </w:p>
        </w:tc>
      </w:tr>
      <w:tr w:rsidR="002C50DE" w14:paraId="2EC58A40" w14:textId="77777777" w:rsidTr="008B284F">
        <w:tc>
          <w:tcPr>
            <w:tcW w:w="1555" w:type="dxa"/>
          </w:tcPr>
          <w:p w14:paraId="415832E4" w14:textId="77777777" w:rsidR="002C50DE" w:rsidRPr="00A826B9" w:rsidRDefault="002C50DE" w:rsidP="008B284F">
            <w:pPr>
              <w:rPr>
                <w:sz w:val="20"/>
                <w:szCs w:val="20"/>
              </w:rPr>
            </w:pPr>
            <w:r w:rsidRPr="00A826B9">
              <w:rPr>
                <w:sz w:val="20"/>
                <w:szCs w:val="20"/>
              </w:rPr>
              <w:t>Peru</w:t>
            </w:r>
          </w:p>
        </w:tc>
        <w:tc>
          <w:tcPr>
            <w:tcW w:w="7461" w:type="dxa"/>
          </w:tcPr>
          <w:p w14:paraId="6FA52D3E" w14:textId="0F11AF2B" w:rsidR="002C50DE" w:rsidRPr="00A826B9" w:rsidRDefault="002C50DE" w:rsidP="004B0842">
            <w:pPr>
              <w:rPr>
                <w:sz w:val="20"/>
                <w:szCs w:val="20"/>
              </w:rPr>
            </w:pPr>
            <w:r w:rsidRPr="00A826B9">
              <w:rPr>
                <w:sz w:val="20"/>
                <w:szCs w:val="20"/>
                <w:u w:val="single"/>
              </w:rPr>
              <w:t>Trans fats-</w:t>
            </w:r>
            <w:r w:rsidRPr="00A826B9">
              <w:rPr>
                <w:sz w:val="20"/>
                <w:szCs w:val="20"/>
              </w:rPr>
              <w:t xml:space="preserve"> Limits on the use and / or content of trans fats of 2 g/100 g or 100 ml for fats, vegetable oils and margarines or 5g/100g or 100ml for other foods and non-alcoholic beverages processed industrially. The </w:t>
            </w:r>
            <w:r w:rsidR="00FF7D36">
              <w:rPr>
                <w:sz w:val="20"/>
                <w:szCs w:val="20"/>
              </w:rPr>
              <w:t>r</w:t>
            </w:r>
            <w:r w:rsidRPr="00A826B9">
              <w:rPr>
                <w:sz w:val="20"/>
                <w:szCs w:val="20"/>
              </w:rPr>
              <w:t>egulations apply to anyone who commercialises, imports, supplies and manufactures industrially processed foods intended for human consumption, as well as to the advertisers of those products. In place since 2017.</w:t>
            </w:r>
          </w:p>
        </w:tc>
      </w:tr>
      <w:tr w:rsidR="002C50DE" w14:paraId="4E82D609" w14:textId="77777777" w:rsidTr="008B284F">
        <w:tc>
          <w:tcPr>
            <w:tcW w:w="1555" w:type="dxa"/>
          </w:tcPr>
          <w:p w14:paraId="6B559449" w14:textId="77777777" w:rsidR="002C50DE" w:rsidRPr="00A826B9" w:rsidRDefault="002C50DE" w:rsidP="008B284F">
            <w:pPr>
              <w:rPr>
                <w:sz w:val="20"/>
                <w:szCs w:val="20"/>
              </w:rPr>
            </w:pPr>
            <w:r w:rsidRPr="00A826B9">
              <w:rPr>
                <w:sz w:val="20"/>
                <w:szCs w:val="20"/>
              </w:rPr>
              <w:t>Portugal</w:t>
            </w:r>
          </w:p>
        </w:tc>
        <w:tc>
          <w:tcPr>
            <w:tcW w:w="7461" w:type="dxa"/>
          </w:tcPr>
          <w:p w14:paraId="4D26A8F5" w14:textId="77777777" w:rsidR="002C50DE" w:rsidRPr="00A826B9" w:rsidRDefault="002C50DE" w:rsidP="008B284F">
            <w:pPr>
              <w:rPr>
                <w:sz w:val="20"/>
                <w:szCs w:val="20"/>
              </w:rPr>
            </w:pPr>
            <w:r w:rsidRPr="00A826B9">
              <w:rPr>
                <w:sz w:val="20"/>
                <w:szCs w:val="20"/>
                <w:u w:val="single"/>
              </w:rPr>
              <w:t>Salt-</w:t>
            </w:r>
            <w:r w:rsidRPr="00A826B9">
              <w:rPr>
                <w:sz w:val="20"/>
                <w:szCs w:val="20"/>
              </w:rPr>
              <w:t xml:space="preserve"> Maximum level of salt in bread at 1.4g/100g, since 2009. From 2019 this will progressively </w:t>
            </w:r>
            <w:proofErr w:type="gramStart"/>
            <w:r w:rsidRPr="00A826B9">
              <w:rPr>
                <w:sz w:val="20"/>
                <w:szCs w:val="20"/>
              </w:rPr>
              <w:t>reduce down</w:t>
            </w:r>
            <w:proofErr w:type="gramEnd"/>
            <w:r w:rsidRPr="00A826B9">
              <w:rPr>
                <w:sz w:val="20"/>
                <w:szCs w:val="20"/>
              </w:rPr>
              <w:t xml:space="preserve"> to 1.0g/100 g by 2020.</w:t>
            </w:r>
          </w:p>
          <w:p w14:paraId="5F2CA355" w14:textId="77777777" w:rsidR="002C50DE" w:rsidRPr="00A826B9" w:rsidRDefault="002C50DE" w:rsidP="008B284F">
            <w:pPr>
              <w:rPr>
                <w:sz w:val="20"/>
                <w:szCs w:val="20"/>
              </w:rPr>
            </w:pPr>
            <w:r w:rsidRPr="00A826B9">
              <w:rPr>
                <w:sz w:val="20"/>
                <w:szCs w:val="20"/>
                <w:u w:val="single"/>
              </w:rPr>
              <w:t>Trans fats</w:t>
            </w:r>
            <w:r w:rsidRPr="00A826B9">
              <w:rPr>
                <w:sz w:val="20"/>
                <w:szCs w:val="20"/>
              </w:rPr>
              <w:t xml:space="preserve"> - Less than 2g per 100g of product since 2018</w:t>
            </w:r>
          </w:p>
        </w:tc>
      </w:tr>
      <w:tr w:rsidR="002C50DE" w14:paraId="2C31C6B4" w14:textId="77777777" w:rsidTr="008B284F">
        <w:tc>
          <w:tcPr>
            <w:tcW w:w="1555" w:type="dxa"/>
          </w:tcPr>
          <w:p w14:paraId="0C59EF2A" w14:textId="77777777" w:rsidR="002C50DE" w:rsidRPr="00A826B9" w:rsidRDefault="002C50DE" w:rsidP="008B284F">
            <w:pPr>
              <w:rPr>
                <w:sz w:val="20"/>
                <w:szCs w:val="20"/>
              </w:rPr>
            </w:pPr>
            <w:r w:rsidRPr="00A826B9">
              <w:rPr>
                <w:sz w:val="20"/>
                <w:szCs w:val="20"/>
              </w:rPr>
              <w:t>Singapore</w:t>
            </w:r>
          </w:p>
        </w:tc>
        <w:tc>
          <w:tcPr>
            <w:tcW w:w="7461" w:type="dxa"/>
          </w:tcPr>
          <w:p w14:paraId="7138D434" w14:textId="77777777" w:rsidR="002C50DE" w:rsidRPr="00A826B9" w:rsidRDefault="002C50DE" w:rsidP="00AA1F0F">
            <w:pPr>
              <w:rPr>
                <w:sz w:val="20"/>
                <w:szCs w:val="20"/>
              </w:rPr>
            </w:pPr>
            <w:r w:rsidRPr="00A826B9">
              <w:rPr>
                <w:sz w:val="20"/>
                <w:szCs w:val="20"/>
                <w:u w:val="single"/>
              </w:rPr>
              <w:t>Trans fats</w:t>
            </w:r>
            <w:r w:rsidRPr="00A826B9">
              <w:rPr>
                <w:sz w:val="20"/>
                <w:szCs w:val="20"/>
              </w:rPr>
              <w:t xml:space="preserve">- Limit of 2% on trans fats in pre-packaged edible fats and oils for sale or for use as an ingredient in the preparation of food. </w:t>
            </w:r>
            <w:r w:rsidR="00AA1F0F">
              <w:rPr>
                <w:sz w:val="20"/>
                <w:szCs w:val="20"/>
              </w:rPr>
              <w:t>C</w:t>
            </w:r>
            <w:r w:rsidRPr="00A826B9">
              <w:rPr>
                <w:sz w:val="20"/>
                <w:szCs w:val="20"/>
              </w:rPr>
              <w:t>ame into effect on 2 May 2012.</w:t>
            </w:r>
          </w:p>
        </w:tc>
      </w:tr>
      <w:tr w:rsidR="002C50DE" w14:paraId="1BBDF333" w14:textId="77777777" w:rsidTr="008B284F">
        <w:tc>
          <w:tcPr>
            <w:tcW w:w="1555" w:type="dxa"/>
          </w:tcPr>
          <w:p w14:paraId="0CA0ABF4" w14:textId="77777777" w:rsidR="002C50DE" w:rsidRPr="00A826B9" w:rsidRDefault="002C50DE" w:rsidP="008B284F">
            <w:pPr>
              <w:rPr>
                <w:sz w:val="20"/>
                <w:szCs w:val="20"/>
              </w:rPr>
            </w:pPr>
            <w:r w:rsidRPr="00A826B9">
              <w:rPr>
                <w:sz w:val="20"/>
                <w:szCs w:val="20"/>
              </w:rPr>
              <w:t>South Africa</w:t>
            </w:r>
          </w:p>
        </w:tc>
        <w:tc>
          <w:tcPr>
            <w:tcW w:w="7461" w:type="dxa"/>
          </w:tcPr>
          <w:p w14:paraId="6A9C5A3F" w14:textId="1D5BA7D9" w:rsidR="003C619C" w:rsidRPr="00533C4C" w:rsidRDefault="002C50DE" w:rsidP="008B284F">
            <w:r w:rsidRPr="00A826B9">
              <w:rPr>
                <w:sz w:val="20"/>
                <w:szCs w:val="20"/>
                <w:u w:val="single"/>
              </w:rPr>
              <w:t>Salt-</w:t>
            </w:r>
            <w:r w:rsidRPr="00A826B9">
              <w:rPr>
                <w:sz w:val="20"/>
                <w:szCs w:val="20"/>
              </w:rPr>
              <w:t xml:space="preserve"> </w:t>
            </w:r>
            <w:r w:rsidR="003C619C">
              <w:rPr>
                <w:sz w:val="20"/>
                <w:szCs w:val="20"/>
              </w:rPr>
              <w:t>Mandatory limits on salt in a range of food products, including bread, breakfast cereals, margarines, snack foods, meat products and soup mixes introduced in 2016 and a second lower set of t</w:t>
            </w:r>
            <w:r w:rsidR="00533C4C">
              <w:rPr>
                <w:sz w:val="20"/>
                <w:szCs w:val="20"/>
              </w:rPr>
              <w:t xml:space="preserve">argets were introduced in 2019. </w:t>
            </w:r>
          </w:p>
          <w:p w14:paraId="0FC1E013" w14:textId="77777777" w:rsidR="002C50DE" w:rsidRPr="00A826B9" w:rsidRDefault="002C50DE" w:rsidP="008B284F">
            <w:pPr>
              <w:rPr>
                <w:sz w:val="20"/>
                <w:szCs w:val="20"/>
              </w:rPr>
            </w:pPr>
            <w:r w:rsidRPr="00A826B9">
              <w:rPr>
                <w:sz w:val="20"/>
                <w:szCs w:val="20"/>
                <w:u w:val="single"/>
              </w:rPr>
              <w:t>Trans fats-</w:t>
            </w:r>
            <w:r w:rsidRPr="00A826B9">
              <w:rPr>
                <w:sz w:val="20"/>
                <w:szCs w:val="20"/>
              </w:rPr>
              <w:t xml:space="preserve"> Sale, manufacturing and importation of any oils or fats, alone or as part of processed food, that exceed 2g per 100g of oil or fat is prohibited. This applies to retail, catering businesses, restaurants, institutions and bakeries. The regulations came into effect in August 2011.</w:t>
            </w:r>
          </w:p>
        </w:tc>
      </w:tr>
      <w:tr w:rsidR="002C50DE" w14:paraId="4DA223F2" w14:textId="77777777" w:rsidTr="008B284F">
        <w:tc>
          <w:tcPr>
            <w:tcW w:w="1555" w:type="dxa"/>
          </w:tcPr>
          <w:p w14:paraId="6127AB24" w14:textId="77777777" w:rsidR="002C50DE" w:rsidRPr="00A826B9" w:rsidRDefault="002C50DE" w:rsidP="008B284F">
            <w:pPr>
              <w:rPr>
                <w:sz w:val="20"/>
                <w:szCs w:val="20"/>
              </w:rPr>
            </w:pPr>
            <w:r w:rsidRPr="00A826B9">
              <w:rPr>
                <w:sz w:val="20"/>
                <w:szCs w:val="20"/>
              </w:rPr>
              <w:lastRenderedPageBreak/>
              <w:t>Switzerland</w:t>
            </w:r>
          </w:p>
        </w:tc>
        <w:tc>
          <w:tcPr>
            <w:tcW w:w="7461" w:type="dxa"/>
          </w:tcPr>
          <w:p w14:paraId="49DD6616" w14:textId="77777777" w:rsidR="002C50DE" w:rsidRPr="00A826B9" w:rsidRDefault="002C50DE" w:rsidP="008B284F">
            <w:pPr>
              <w:rPr>
                <w:sz w:val="20"/>
                <w:szCs w:val="20"/>
              </w:rPr>
            </w:pPr>
            <w:r w:rsidRPr="00A826B9">
              <w:rPr>
                <w:sz w:val="20"/>
                <w:szCs w:val="20"/>
                <w:u w:val="single"/>
              </w:rPr>
              <w:t>Trans fats-</w:t>
            </w:r>
            <w:r w:rsidRPr="00A826B9">
              <w:rPr>
                <w:sz w:val="20"/>
                <w:szCs w:val="20"/>
              </w:rPr>
              <w:t xml:space="preserve"> In 2008, Switzerland set a limit on trans fats of 2g per 100g of vegetable oil or fat, with a one-year entry period.</w:t>
            </w:r>
          </w:p>
        </w:tc>
      </w:tr>
      <w:tr w:rsidR="002C50DE" w14:paraId="0C333BC7" w14:textId="77777777" w:rsidTr="008B284F">
        <w:tc>
          <w:tcPr>
            <w:tcW w:w="1555" w:type="dxa"/>
          </w:tcPr>
          <w:p w14:paraId="6049DF77" w14:textId="77777777" w:rsidR="002C50DE" w:rsidRPr="00A826B9" w:rsidRDefault="002C50DE" w:rsidP="008B284F">
            <w:pPr>
              <w:rPr>
                <w:sz w:val="20"/>
                <w:szCs w:val="20"/>
              </w:rPr>
            </w:pPr>
            <w:r w:rsidRPr="00A826B9">
              <w:rPr>
                <w:sz w:val="20"/>
                <w:szCs w:val="20"/>
              </w:rPr>
              <w:t>Thailand</w:t>
            </w:r>
          </w:p>
        </w:tc>
        <w:tc>
          <w:tcPr>
            <w:tcW w:w="7461" w:type="dxa"/>
          </w:tcPr>
          <w:p w14:paraId="0D0ECF4C" w14:textId="77777777" w:rsidR="002C50DE" w:rsidRPr="00A826B9" w:rsidRDefault="002C50DE" w:rsidP="008B284F">
            <w:pPr>
              <w:tabs>
                <w:tab w:val="left" w:pos="1200"/>
              </w:tabs>
              <w:rPr>
                <w:sz w:val="20"/>
                <w:szCs w:val="20"/>
              </w:rPr>
            </w:pPr>
            <w:r w:rsidRPr="00A826B9">
              <w:rPr>
                <w:sz w:val="20"/>
                <w:szCs w:val="20"/>
                <w:u w:val="single"/>
              </w:rPr>
              <w:t>Trans fats-</w:t>
            </w:r>
            <w:r w:rsidRPr="00A826B9">
              <w:rPr>
                <w:sz w:val="20"/>
                <w:szCs w:val="20"/>
              </w:rPr>
              <w:t xml:space="preserve"> Sale, production and importation of partially hydrogenated oils (trans fats) and food products containing partially hydrogenated oils prohibited. In effect since January 2019. </w:t>
            </w:r>
          </w:p>
        </w:tc>
      </w:tr>
      <w:tr w:rsidR="00F22235" w14:paraId="3123C4E2" w14:textId="77777777" w:rsidTr="008B284F">
        <w:tc>
          <w:tcPr>
            <w:tcW w:w="1555" w:type="dxa"/>
          </w:tcPr>
          <w:p w14:paraId="0478C58F" w14:textId="3218203B" w:rsidR="00F22235" w:rsidRPr="00A826B9" w:rsidRDefault="00F22235" w:rsidP="008B284F">
            <w:pPr>
              <w:rPr>
                <w:sz w:val="20"/>
                <w:szCs w:val="20"/>
              </w:rPr>
            </w:pPr>
            <w:r>
              <w:rPr>
                <w:sz w:val="20"/>
                <w:szCs w:val="20"/>
              </w:rPr>
              <w:t>Turkey</w:t>
            </w:r>
          </w:p>
        </w:tc>
        <w:tc>
          <w:tcPr>
            <w:tcW w:w="7461" w:type="dxa"/>
          </w:tcPr>
          <w:p w14:paraId="283FC2E0" w14:textId="78DF5F10" w:rsidR="00F22235" w:rsidRPr="00F22235" w:rsidRDefault="00F22235" w:rsidP="008B284F">
            <w:pPr>
              <w:tabs>
                <w:tab w:val="left" w:pos="1200"/>
              </w:tabs>
              <w:rPr>
                <w:sz w:val="20"/>
                <w:szCs w:val="20"/>
              </w:rPr>
            </w:pPr>
            <w:r>
              <w:rPr>
                <w:sz w:val="20"/>
                <w:szCs w:val="20"/>
                <w:u w:val="single"/>
              </w:rPr>
              <w:t xml:space="preserve">Trans fats- </w:t>
            </w:r>
            <w:r>
              <w:rPr>
                <w:sz w:val="20"/>
                <w:szCs w:val="20"/>
              </w:rPr>
              <w:t xml:space="preserve">In May 2020 Turkey announced regulations limiting the amount of industrially produced trans fats allowed in foods. Foods intended for the final consumer and retail must contain no more than 2g of trans fats per 100g of fat. </w:t>
            </w:r>
          </w:p>
        </w:tc>
      </w:tr>
      <w:tr w:rsidR="002C50DE" w14:paraId="4741074D" w14:textId="77777777" w:rsidTr="008B284F">
        <w:tc>
          <w:tcPr>
            <w:tcW w:w="1555" w:type="dxa"/>
          </w:tcPr>
          <w:p w14:paraId="2488F85E" w14:textId="77777777" w:rsidR="002C50DE" w:rsidRPr="00A826B9" w:rsidRDefault="002C50DE" w:rsidP="008B284F">
            <w:pPr>
              <w:rPr>
                <w:sz w:val="20"/>
                <w:szCs w:val="20"/>
              </w:rPr>
            </w:pPr>
            <w:r w:rsidRPr="00A826B9">
              <w:rPr>
                <w:sz w:val="20"/>
                <w:szCs w:val="20"/>
              </w:rPr>
              <w:t>United States</w:t>
            </w:r>
          </w:p>
        </w:tc>
        <w:tc>
          <w:tcPr>
            <w:tcW w:w="7461" w:type="dxa"/>
          </w:tcPr>
          <w:p w14:paraId="35ACF508" w14:textId="77777777" w:rsidR="002C50DE" w:rsidRPr="00A826B9" w:rsidRDefault="002C50DE" w:rsidP="008B284F">
            <w:pPr>
              <w:tabs>
                <w:tab w:val="left" w:pos="1200"/>
              </w:tabs>
              <w:rPr>
                <w:sz w:val="20"/>
                <w:szCs w:val="20"/>
              </w:rPr>
            </w:pPr>
            <w:r w:rsidRPr="00A826B9">
              <w:rPr>
                <w:sz w:val="20"/>
                <w:szCs w:val="20"/>
                <w:u w:val="single"/>
              </w:rPr>
              <w:t>Trans fats-</w:t>
            </w:r>
            <w:r w:rsidRPr="00A826B9">
              <w:rPr>
                <w:sz w:val="20"/>
                <w:szCs w:val="20"/>
              </w:rPr>
              <w:t xml:space="preserve"> In June 2015, the US Food and Drug Administration (FDA) determined that partially hydrogenated oils (PHOs), the primary source of trans fats, are not "generally recognised as safe (GRAS)" for any use in food. Food manufacturers had three years to remove PHOs from products. As of 18 June 2018, food manufacturers and restaurants are no longer allowed to produce foods that contain PHOs. </w:t>
            </w:r>
          </w:p>
        </w:tc>
      </w:tr>
    </w:tbl>
    <w:p w14:paraId="3FE7C83E" w14:textId="1D4EFB75" w:rsidR="00DC4410" w:rsidRDefault="00DC4410">
      <w:pPr>
        <w:rPr>
          <w:b/>
        </w:rPr>
      </w:pPr>
      <w:r>
        <w:rPr>
          <w:b/>
        </w:rPr>
        <w:br w:type="page"/>
      </w:r>
    </w:p>
    <w:p w14:paraId="3FE06EF4" w14:textId="77777777" w:rsidR="00ED3FD2" w:rsidRPr="00ED3FD2" w:rsidRDefault="00E73DAF" w:rsidP="00ED3FD2">
      <w:pPr>
        <w:pStyle w:val="Heading1"/>
      </w:pPr>
      <w:bookmarkStart w:id="96" w:name="_Toc54273238"/>
      <w:bookmarkStart w:id="97" w:name="_Toc49506077"/>
      <w:bookmarkStart w:id="98" w:name="_Toc49506925"/>
      <w:r w:rsidRPr="00ED3FD2">
        <w:lastRenderedPageBreak/>
        <w:t>Appendix 2</w:t>
      </w:r>
      <w:bookmarkEnd w:id="96"/>
    </w:p>
    <w:p w14:paraId="04EBB971" w14:textId="331EA705" w:rsidR="00ED3FD2" w:rsidRDefault="00ED3FD2" w:rsidP="00ED3FD2">
      <w:pPr>
        <w:pStyle w:val="Heading2"/>
        <w:jc w:val="center"/>
      </w:pPr>
      <w:bookmarkStart w:id="99" w:name="_Toc54273239"/>
      <w:r>
        <w:t xml:space="preserve">Healthy Food Partnership sodium targets </w:t>
      </w:r>
      <w:r w:rsidR="00597DF2">
        <w:t xml:space="preserve">compared </w:t>
      </w:r>
      <w:r>
        <w:t xml:space="preserve">to international </w:t>
      </w:r>
      <w:r w:rsidR="00597DF2">
        <w:t>levels</w:t>
      </w:r>
      <w:r>
        <w:rPr>
          <w:rStyle w:val="FootnoteReference"/>
        </w:rPr>
        <w:footnoteReference w:id="180"/>
      </w:r>
      <w:bookmarkEnd w:id="99"/>
    </w:p>
    <w:p w14:paraId="39FA3EE3" w14:textId="11125E1E" w:rsidR="00A472F5" w:rsidRPr="007D7382" w:rsidRDefault="00A472F5" w:rsidP="00A472F5">
      <w:pPr>
        <w:rPr>
          <w:color w:val="7030A0"/>
          <w:sz w:val="20"/>
          <w:szCs w:val="20"/>
        </w:rPr>
      </w:pPr>
      <w:r w:rsidRPr="007D7382">
        <w:rPr>
          <w:sz w:val="20"/>
          <w:szCs w:val="20"/>
        </w:rPr>
        <w:t xml:space="preserve">* HFP reformulation targets were compared to </w:t>
      </w:r>
      <w:r w:rsidR="00B4673D" w:rsidRPr="00B4673D">
        <w:rPr>
          <w:sz w:val="20"/>
          <w:szCs w:val="20"/>
        </w:rPr>
        <w:t xml:space="preserve">mandatory </w:t>
      </w:r>
      <w:r w:rsidRPr="00B4673D">
        <w:rPr>
          <w:sz w:val="20"/>
          <w:szCs w:val="20"/>
        </w:rPr>
        <w:t>targets in South Africa, Argentina, Belgium (bread only), Bulgaria (bread only), Portugal (bread only)</w:t>
      </w:r>
      <w:r w:rsidR="00B4673D" w:rsidRPr="00B4673D">
        <w:rPr>
          <w:sz w:val="20"/>
          <w:szCs w:val="20"/>
        </w:rPr>
        <w:t xml:space="preserve"> and voluntary targets in</w:t>
      </w:r>
      <w:r w:rsidRPr="00B4673D">
        <w:rPr>
          <w:sz w:val="20"/>
          <w:szCs w:val="20"/>
        </w:rPr>
        <w:t xml:space="preserve"> Canada, Brazil, UK, Americas (Pan America Health Organization (PAHO).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Healthy Food Partnership sodium targets compared to international levels"/>
        <w:tblDescription w:val="Table has 3 columns. Column 1 details the food category. Column 2 provides the Healthy Food Partnership sodium targets per 100g or 100mL. Column 3 describes whether international targets are higher or lower in international settings. "/>
      </w:tblPr>
      <w:tblGrid>
        <w:gridCol w:w="1271"/>
        <w:gridCol w:w="1843"/>
        <w:gridCol w:w="6662"/>
      </w:tblGrid>
      <w:tr w:rsidR="00ED3FD2" w:rsidRPr="008C1DE3" w14:paraId="4F82D55B" w14:textId="77777777" w:rsidTr="00FB5819">
        <w:trPr>
          <w:trHeight w:val="416"/>
          <w:tblHeader/>
        </w:trPr>
        <w:tc>
          <w:tcPr>
            <w:tcW w:w="1271" w:type="dxa"/>
            <w:vMerge w:val="restart"/>
            <w:shd w:val="clear" w:color="000000" w:fill="D9D9D9"/>
            <w:vAlign w:val="center"/>
            <w:hideMark/>
          </w:tcPr>
          <w:p w14:paraId="1C3D978E" w14:textId="77777777" w:rsidR="00ED3FD2" w:rsidRPr="00A472F5" w:rsidRDefault="00ED3FD2" w:rsidP="00FB5819">
            <w:pPr>
              <w:spacing w:after="0"/>
              <w:rPr>
                <w:rFonts w:eastAsia="Times New Roman"/>
                <w:b/>
                <w:color w:val="000000"/>
                <w:sz w:val="20"/>
                <w:szCs w:val="20"/>
                <w:lang w:val="en-GB" w:eastAsia="en-GB"/>
              </w:rPr>
            </w:pPr>
            <w:r w:rsidRPr="00A472F5">
              <w:rPr>
                <w:rFonts w:eastAsia="Times New Roman"/>
                <w:b/>
                <w:color w:val="000000"/>
                <w:sz w:val="20"/>
                <w:szCs w:val="20"/>
                <w:lang w:eastAsia="en-GB"/>
              </w:rPr>
              <w:t>Category</w:t>
            </w:r>
          </w:p>
        </w:tc>
        <w:tc>
          <w:tcPr>
            <w:tcW w:w="8505" w:type="dxa"/>
            <w:gridSpan w:val="2"/>
            <w:shd w:val="clear" w:color="000000" w:fill="D9D9D9"/>
            <w:vAlign w:val="center"/>
            <w:hideMark/>
          </w:tcPr>
          <w:p w14:paraId="01EBD624" w14:textId="77777777" w:rsidR="00ED3FD2" w:rsidRPr="00A472F5" w:rsidRDefault="00ED3FD2" w:rsidP="00FB5819">
            <w:pPr>
              <w:spacing w:after="0"/>
              <w:jc w:val="center"/>
              <w:rPr>
                <w:rFonts w:eastAsia="Times New Roman"/>
                <w:b/>
                <w:color w:val="000000"/>
                <w:sz w:val="20"/>
                <w:szCs w:val="20"/>
                <w:lang w:val="en-GB" w:eastAsia="en-GB"/>
              </w:rPr>
            </w:pPr>
            <w:r w:rsidRPr="00A472F5">
              <w:rPr>
                <w:rFonts w:eastAsia="Times New Roman"/>
                <w:b/>
                <w:color w:val="000000"/>
                <w:sz w:val="20"/>
                <w:szCs w:val="20"/>
                <w:lang w:eastAsia="en-GB"/>
              </w:rPr>
              <w:t>Sodium targets (per 100g/ml)</w:t>
            </w:r>
          </w:p>
        </w:tc>
      </w:tr>
      <w:tr w:rsidR="00ED3FD2" w:rsidRPr="00DB2177" w14:paraId="6B9C2128" w14:textId="77777777" w:rsidTr="00FB5819">
        <w:trPr>
          <w:trHeight w:val="705"/>
          <w:tblHeader/>
        </w:trPr>
        <w:tc>
          <w:tcPr>
            <w:tcW w:w="1271" w:type="dxa"/>
            <w:vMerge/>
            <w:shd w:val="clear" w:color="000000" w:fill="D9D9D9"/>
            <w:vAlign w:val="center"/>
          </w:tcPr>
          <w:p w14:paraId="693FD954" w14:textId="77777777" w:rsidR="00ED3FD2" w:rsidRPr="00A472F5" w:rsidRDefault="00ED3FD2" w:rsidP="00FB5819">
            <w:pPr>
              <w:spacing w:after="0"/>
              <w:rPr>
                <w:rFonts w:eastAsia="Times New Roman"/>
                <w:b/>
                <w:color w:val="000000"/>
                <w:sz w:val="20"/>
                <w:szCs w:val="20"/>
                <w:lang w:eastAsia="en-GB"/>
              </w:rPr>
            </w:pPr>
          </w:p>
        </w:tc>
        <w:tc>
          <w:tcPr>
            <w:tcW w:w="1843" w:type="dxa"/>
            <w:shd w:val="clear" w:color="000000" w:fill="D9D9D9"/>
            <w:vAlign w:val="center"/>
          </w:tcPr>
          <w:p w14:paraId="5181511E" w14:textId="77777777" w:rsidR="00ED3FD2" w:rsidRPr="00A472F5" w:rsidRDefault="00ED3FD2" w:rsidP="00FB5819">
            <w:pPr>
              <w:spacing w:after="0"/>
              <w:rPr>
                <w:rFonts w:eastAsia="Times New Roman"/>
                <w:b/>
                <w:color w:val="000000"/>
                <w:sz w:val="20"/>
                <w:szCs w:val="20"/>
                <w:lang w:eastAsia="en-GB"/>
              </w:rPr>
            </w:pPr>
            <w:r w:rsidRPr="00A472F5">
              <w:rPr>
                <w:rFonts w:eastAsia="Times New Roman"/>
                <w:b/>
                <w:color w:val="000000"/>
                <w:sz w:val="20"/>
                <w:szCs w:val="20"/>
                <w:lang w:eastAsia="en-GB"/>
              </w:rPr>
              <w:t xml:space="preserve">Healthy Food Partnership (HFP) </w:t>
            </w:r>
          </w:p>
        </w:tc>
        <w:tc>
          <w:tcPr>
            <w:tcW w:w="6662" w:type="dxa"/>
            <w:shd w:val="clear" w:color="000000" w:fill="D9D9D9"/>
            <w:vAlign w:val="center"/>
          </w:tcPr>
          <w:p w14:paraId="6911D16D" w14:textId="58D1762B" w:rsidR="00ED3FD2" w:rsidRPr="00A472F5" w:rsidRDefault="00A472F5" w:rsidP="00FB5819">
            <w:pPr>
              <w:spacing w:after="0"/>
              <w:rPr>
                <w:rFonts w:eastAsia="Times New Roman"/>
                <w:b/>
                <w:color w:val="000000"/>
                <w:sz w:val="20"/>
                <w:szCs w:val="20"/>
                <w:lang w:val="en-GB" w:eastAsia="en-GB"/>
              </w:rPr>
            </w:pPr>
            <w:r w:rsidRPr="00A472F5">
              <w:rPr>
                <w:rFonts w:eastAsia="Times New Roman"/>
                <w:b/>
                <w:color w:val="000000"/>
                <w:sz w:val="20"/>
                <w:szCs w:val="20"/>
                <w:lang w:val="en-GB" w:eastAsia="en-GB"/>
              </w:rPr>
              <w:t>Comparison of HFP targets to international voluntary and mandatory targets*</w:t>
            </w:r>
            <w:r w:rsidR="00ED3FD2" w:rsidRPr="00A472F5">
              <w:rPr>
                <w:rFonts w:eastAsia="Times New Roman"/>
                <w:b/>
                <w:color w:val="000000"/>
                <w:sz w:val="20"/>
                <w:szCs w:val="20"/>
                <w:lang w:val="en-GB" w:eastAsia="en-GB"/>
              </w:rPr>
              <w:t xml:space="preserve"> </w:t>
            </w:r>
          </w:p>
        </w:tc>
      </w:tr>
      <w:tr w:rsidR="00ED3FD2" w:rsidRPr="00DB2177" w14:paraId="3A5B5000" w14:textId="77777777" w:rsidTr="00FB5819">
        <w:trPr>
          <w:trHeight w:val="790"/>
        </w:trPr>
        <w:tc>
          <w:tcPr>
            <w:tcW w:w="1271" w:type="dxa"/>
            <w:shd w:val="clear" w:color="auto" w:fill="FFFFFF" w:themeFill="background1"/>
            <w:vAlign w:val="center"/>
          </w:tcPr>
          <w:p w14:paraId="5FB0DE36"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 xml:space="preserve">Breads </w:t>
            </w:r>
          </w:p>
        </w:tc>
        <w:tc>
          <w:tcPr>
            <w:tcW w:w="1843" w:type="dxa"/>
            <w:shd w:val="clear" w:color="auto" w:fill="FFFFFF" w:themeFill="background1"/>
            <w:vAlign w:val="center"/>
          </w:tcPr>
          <w:p w14:paraId="1F49A000"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380mg (Leavened), 450mg (Flat bread)</w:t>
            </w:r>
          </w:p>
        </w:tc>
        <w:tc>
          <w:tcPr>
            <w:tcW w:w="6662" w:type="dxa"/>
            <w:shd w:val="clear" w:color="auto" w:fill="FFFFFF" w:themeFill="background1"/>
            <w:vAlign w:val="center"/>
          </w:tcPr>
          <w:p w14:paraId="668BE66E" w14:textId="77777777" w:rsidR="00ED3FD2" w:rsidRPr="00FB5819" w:rsidRDefault="00ED3FD2" w:rsidP="00FB5819">
            <w:pPr>
              <w:spacing w:after="0"/>
            </w:pPr>
            <w:r w:rsidRPr="00A472F5">
              <w:rPr>
                <w:rFonts w:eastAsia="Times New Roman"/>
                <w:color w:val="00B0F0"/>
                <w:sz w:val="20"/>
                <w:szCs w:val="20"/>
                <w:u w:val="single"/>
                <w:lang w:val="en-GB" w:eastAsia="en-GB"/>
              </w:rPr>
              <w:t>Range: 380mg to 530mg.</w:t>
            </w:r>
            <w:r w:rsidRPr="00A472F5">
              <w:rPr>
                <w:rFonts w:eastAsia="Times New Roman"/>
                <w:color w:val="00B0F0"/>
                <w:sz w:val="20"/>
                <w:szCs w:val="20"/>
                <w:lang w:val="en-GB" w:eastAsia="en-GB"/>
              </w:rPr>
              <w:t xml:space="preserve"> HIGHER, apart from South Africa (380mg) which is equal.</w:t>
            </w:r>
          </w:p>
          <w:p w14:paraId="20140046" w14:textId="77777777" w:rsidR="00ED3FD2" w:rsidRPr="00A472F5" w:rsidRDefault="00ED3FD2" w:rsidP="00FB5819">
            <w:pPr>
              <w:spacing w:after="0"/>
              <w:rPr>
                <w:rFonts w:eastAsia="Times New Roman"/>
                <w:color w:val="7030A0"/>
                <w:sz w:val="20"/>
                <w:szCs w:val="20"/>
                <w:lang w:val="en-GB" w:eastAsia="en-GB"/>
              </w:rPr>
            </w:pPr>
            <w:r w:rsidRPr="00A472F5">
              <w:rPr>
                <w:rFonts w:eastAsia="Times New Roman"/>
                <w:color w:val="7030A0"/>
                <w:sz w:val="20"/>
                <w:szCs w:val="20"/>
                <w:u w:val="single"/>
                <w:lang w:val="en-GB" w:eastAsia="en-GB"/>
              </w:rPr>
              <w:t>Range: 350mg – 588mg</w:t>
            </w:r>
            <w:r w:rsidRPr="00A472F5">
              <w:rPr>
                <w:rFonts w:eastAsia="Times New Roman"/>
                <w:color w:val="7030A0"/>
                <w:sz w:val="20"/>
                <w:szCs w:val="20"/>
                <w:lang w:val="en-GB" w:eastAsia="en-GB"/>
              </w:rPr>
              <w:t xml:space="preserve"> HIGHER, the PAHO’s lower target (400mg) is still higher. LOWER in UK (350mg).</w:t>
            </w:r>
          </w:p>
        </w:tc>
      </w:tr>
      <w:tr w:rsidR="00ED3FD2" w:rsidRPr="00DB2177" w14:paraId="45A2CF00" w14:textId="77777777" w:rsidTr="00FB5819">
        <w:trPr>
          <w:trHeight w:val="1606"/>
        </w:trPr>
        <w:tc>
          <w:tcPr>
            <w:tcW w:w="1271" w:type="dxa"/>
            <w:shd w:val="clear" w:color="auto" w:fill="FFFFFF" w:themeFill="background1"/>
            <w:vAlign w:val="center"/>
          </w:tcPr>
          <w:p w14:paraId="5C18F048"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Processed meats</w:t>
            </w:r>
          </w:p>
        </w:tc>
        <w:tc>
          <w:tcPr>
            <w:tcW w:w="1843" w:type="dxa"/>
            <w:shd w:val="clear" w:color="auto" w:fill="FFFFFF" w:themeFill="background1"/>
            <w:vAlign w:val="center"/>
          </w:tcPr>
          <w:p w14:paraId="40187448" w14:textId="46EE16A3"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1005mg (Ham, bacon), 720mg (Processed deli meat),</w:t>
            </w:r>
            <w:r w:rsidR="00A472F5" w:rsidRPr="00A472F5">
              <w:rPr>
                <w:rFonts w:eastAsia="Times New Roman"/>
                <w:color w:val="000000"/>
                <w:sz w:val="20"/>
                <w:szCs w:val="20"/>
                <w:lang w:eastAsia="en-GB"/>
              </w:rPr>
              <w:t xml:space="preserve"> 900mg (frankfurters, saveloys)</w:t>
            </w:r>
          </w:p>
        </w:tc>
        <w:tc>
          <w:tcPr>
            <w:tcW w:w="6662" w:type="dxa"/>
            <w:shd w:val="clear" w:color="auto" w:fill="FFFFFF" w:themeFill="background1"/>
          </w:tcPr>
          <w:p w14:paraId="0531B63E" w14:textId="77777777" w:rsidR="00ED3FD2" w:rsidRPr="00A472F5" w:rsidRDefault="00ED3FD2" w:rsidP="00FB5819">
            <w:pPr>
              <w:spacing w:after="0"/>
              <w:rPr>
                <w:rFonts w:eastAsia="Times New Roman"/>
                <w:color w:val="00B0F0"/>
                <w:sz w:val="20"/>
                <w:szCs w:val="20"/>
                <w:lang w:val="en-GB" w:eastAsia="en-GB"/>
              </w:rPr>
            </w:pPr>
            <w:r w:rsidRPr="00A472F5">
              <w:rPr>
                <w:rFonts w:eastAsia="Times New Roman"/>
                <w:color w:val="00B0F0"/>
                <w:sz w:val="20"/>
                <w:szCs w:val="20"/>
                <w:lang w:val="en-GB" w:eastAsia="en-GB"/>
              </w:rPr>
              <w:t xml:space="preserve">LOWER in South Africa (uncured 650mg, cured 850mg, frankfurters and saveloys 870mg). Much HIGHER in Argentina (1190mg cooked meats, 1900mg dried meats). </w:t>
            </w:r>
          </w:p>
          <w:p w14:paraId="5F2911F5" w14:textId="77777777" w:rsidR="00ED3FD2" w:rsidRPr="00A472F5" w:rsidRDefault="00ED3FD2" w:rsidP="00FB5819">
            <w:pPr>
              <w:spacing w:after="0"/>
              <w:rPr>
                <w:rFonts w:eastAsia="Times New Roman"/>
                <w:color w:val="000000"/>
                <w:sz w:val="20"/>
                <w:szCs w:val="20"/>
                <w:lang w:val="en-GB" w:eastAsia="en-GB"/>
              </w:rPr>
            </w:pPr>
            <w:r w:rsidRPr="00A472F5">
              <w:rPr>
                <w:rFonts w:eastAsia="Times New Roman"/>
                <w:color w:val="7030A0"/>
                <w:sz w:val="20"/>
                <w:szCs w:val="20"/>
                <w:u w:val="single"/>
                <w:lang w:val="en-GB" w:eastAsia="en-GB"/>
              </w:rPr>
              <w:t>Range: 650mg (ham) to 1900mg</w:t>
            </w:r>
            <w:r w:rsidRPr="00A472F5">
              <w:rPr>
                <w:rFonts w:eastAsia="Times New Roman"/>
                <w:color w:val="7030A0"/>
                <w:sz w:val="20"/>
                <w:szCs w:val="20"/>
                <w:lang w:val="en-GB" w:eastAsia="en-GB"/>
              </w:rPr>
              <w:t xml:space="preserve"> LOWER in the UK (650mg ham, 550-600mg frankfurters and saveloys), PAHO (lower target 690mg) and Canada (870mg frankfurters and saveloys). All others HIGHER, including significantly HIGHER for Americas (1900mg, dry cured meats) and Canada (1400mg). </w:t>
            </w:r>
          </w:p>
        </w:tc>
      </w:tr>
      <w:tr w:rsidR="00ED3FD2" w:rsidRPr="00DB2177" w14:paraId="4973DB8B" w14:textId="77777777" w:rsidTr="00FB5819">
        <w:trPr>
          <w:trHeight w:val="145"/>
        </w:trPr>
        <w:tc>
          <w:tcPr>
            <w:tcW w:w="1271" w:type="dxa"/>
            <w:shd w:val="clear" w:color="auto" w:fill="FFFFFF" w:themeFill="background1"/>
            <w:vAlign w:val="center"/>
          </w:tcPr>
          <w:p w14:paraId="11EC1B87"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Sausages</w:t>
            </w:r>
          </w:p>
        </w:tc>
        <w:tc>
          <w:tcPr>
            <w:tcW w:w="1843" w:type="dxa"/>
            <w:shd w:val="clear" w:color="auto" w:fill="FFFFFF" w:themeFill="background1"/>
            <w:vAlign w:val="center"/>
          </w:tcPr>
          <w:p w14:paraId="29E8CC6E"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540mg</w:t>
            </w:r>
          </w:p>
        </w:tc>
        <w:tc>
          <w:tcPr>
            <w:tcW w:w="6662" w:type="dxa"/>
            <w:shd w:val="clear" w:color="auto" w:fill="FFFFFF" w:themeFill="background1"/>
          </w:tcPr>
          <w:p w14:paraId="62F76F40" w14:textId="77777777" w:rsidR="00ED3FD2" w:rsidRPr="00A472F5" w:rsidRDefault="00ED3FD2" w:rsidP="00FB5819">
            <w:pPr>
              <w:spacing w:after="0"/>
              <w:rPr>
                <w:rFonts w:eastAsia="Times New Roman"/>
                <w:color w:val="70AD47" w:themeColor="accent6"/>
                <w:sz w:val="20"/>
                <w:szCs w:val="20"/>
                <w:lang w:val="en-GB" w:eastAsia="en-GB"/>
              </w:rPr>
            </w:pPr>
            <w:r w:rsidRPr="00A472F5">
              <w:rPr>
                <w:rFonts w:eastAsia="Times New Roman"/>
                <w:color w:val="7030A0"/>
                <w:sz w:val="20"/>
                <w:szCs w:val="20"/>
                <w:u w:val="single"/>
                <w:lang w:val="en-GB" w:eastAsia="en-GB"/>
              </w:rPr>
              <w:t>Range: 550mg to 1500mg,</w:t>
            </w:r>
            <w:r w:rsidRPr="00A472F5">
              <w:rPr>
                <w:rFonts w:eastAsia="Times New Roman"/>
                <w:color w:val="7030A0"/>
                <w:sz w:val="20"/>
                <w:szCs w:val="20"/>
                <w:lang w:val="en-GB" w:eastAsia="en-GB"/>
              </w:rPr>
              <w:t xml:space="preserve"> all HIGHER.</w:t>
            </w:r>
          </w:p>
        </w:tc>
      </w:tr>
      <w:tr w:rsidR="00ED3FD2" w:rsidRPr="00DB2177" w14:paraId="7CC9B8B5" w14:textId="77777777" w:rsidTr="00FB5819">
        <w:trPr>
          <w:trHeight w:val="286"/>
        </w:trPr>
        <w:tc>
          <w:tcPr>
            <w:tcW w:w="1271" w:type="dxa"/>
            <w:shd w:val="clear" w:color="auto" w:fill="FFFFFF" w:themeFill="background1"/>
            <w:vAlign w:val="center"/>
          </w:tcPr>
          <w:p w14:paraId="7CBA2F8C"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Pizza</w:t>
            </w:r>
          </w:p>
        </w:tc>
        <w:tc>
          <w:tcPr>
            <w:tcW w:w="1843" w:type="dxa"/>
            <w:shd w:val="clear" w:color="auto" w:fill="FFFFFF" w:themeFill="background1"/>
            <w:vAlign w:val="center"/>
          </w:tcPr>
          <w:p w14:paraId="0DBEF5B7"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450mg</w:t>
            </w:r>
          </w:p>
        </w:tc>
        <w:tc>
          <w:tcPr>
            <w:tcW w:w="6662" w:type="dxa"/>
            <w:shd w:val="clear" w:color="auto" w:fill="FFFFFF" w:themeFill="background1"/>
          </w:tcPr>
          <w:p w14:paraId="71E517AA" w14:textId="77777777" w:rsidR="00ED3FD2" w:rsidRPr="00A472F5" w:rsidRDefault="00ED3FD2" w:rsidP="00FB5819">
            <w:pPr>
              <w:spacing w:after="0"/>
              <w:rPr>
                <w:rFonts w:eastAsia="Times New Roman"/>
                <w:color w:val="70AD47" w:themeColor="accent6"/>
                <w:sz w:val="20"/>
                <w:szCs w:val="20"/>
                <w:lang w:val="en-GB" w:eastAsia="en-GB"/>
              </w:rPr>
            </w:pPr>
            <w:r w:rsidRPr="00A472F5">
              <w:rPr>
                <w:rFonts w:eastAsia="Times New Roman"/>
                <w:sz w:val="20"/>
                <w:szCs w:val="20"/>
                <w:lang w:val="en-GB" w:eastAsia="en-GB"/>
              </w:rPr>
              <w:t>-</w:t>
            </w:r>
          </w:p>
        </w:tc>
      </w:tr>
      <w:tr w:rsidR="00ED3FD2" w:rsidRPr="00DB2177" w14:paraId="43C43BF6" w14:textId="77777777" w:rsidTr="00FB5819">
        <w:trPr>
          <w:trHeight w:val="790"/>
        </w:trPr>
        <w:tc>
          <w:tcPr>
            <w:tcW w:w="1271" w:type="dxa"/>
            <w:shd w:val="clear" w:color="auto" w:fill="FFFFFF" w:themeFill="background1"/>
            <w:vAlign w:val="center"/>
          </w:tcPr>
          <w:p w14:paraId="61C003F1"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Gravies and sauces</w:t>
            </w:r>
          </w:p>
        </w:tc>
        <w:tc>
          <w:tcPr>
            <w:tcW w:w="1843" w:type="dxa"/>
            <w:shd w:val="clear" w:color="auto" w:fill="FFFFFF" w:themeFill="background1"/>
            <w:vAlign w:val="center"/>
          </w:tcPr>
          <w:p w14:paraId="1E642F10"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450mg (gravies, finishing), 720mg (pesto), 680mg (Asian), 360mg (other)</w:t>
            </w:r>
          </w:p>
        </w:tc>
        <w:tc>
          <w:tcPr>
            <w:tcW w:w="6662" w:type="dxa"/>
            <w:shd w:val="clear" w:color="auto" w:fill="FFFFFF" w:themeFill="background1"/>
            <w:vAlign w:val="center"/>
          </w:tcPr>
          <w:p w14:paraId="046E2B9E" w14:textId="77777777" w:rsidR="00ED3FD2" w:rsidRPr="00A472F5" w:rsidRDefault="00ED3FD2" w:rsidP="00FB5819">
            <w:pPr>
              <w:spacing w:after="0"/>
              <w:rPr>
                <w:rFonts w:eastAsia="Times New Roman"/>
                <w:color w:val="00B0F0"/>
                <w:sz w:val="20"/>
                <w:szCs w:val="20"/>
                <w:lang w:val="en-GB" w:eastAsia="en-GB"/>
              </w:rPr>
            </w:pPr>
            <w:r w:rsidRPr="00A472F5">
              <w:rPr>
                <w:rFonts w:eastAsia="Times New Roman"/>
                <w:color w:val="00B0F0"/>
                <w:sz w:val="20"/>
                <w:szCs w:val="20"/>
                <w:lang w:val="en-GB" w:eastAsia="en-GB"/>
              </w:rPr>
              <w:t>Significantly HIGHER in South Africa (1500mg).</w:t>
            </w:r>
          </w:p>
          <w:p w14:paraId="118C05B9" w14:textId="77777777" w:rsidR="00ED3FD2" w:rsidRPr="00A472F5" w:rsidRDefault="00ED3FD2" w:rsidP="00FB5819">
            <w:pPr>
              <w:spacing w:after="0"/>
              <w:rPr>
                <w:rFonts w:eastAsia="Times New Roman"/>
                <w:color w:val="000000"/>
                <w:sz w:val="20"/>
                <w:szCs w:val="20"/>
                <w:lang w:val="en-GB" w:eastAsia="en-GB"/>
              </w:rPr>
            </w:pPr>
            <w:r w:rsidRPr="00A472F5">
              <w:rPr>
                <w:rFonts w:eastAsia="Times New Roman"/>
                <w:color w:val="7030A0"/>
                <w:sz w:val="20"/>
                <w:szCs w:val="20"/>
                <w:lang w:val="en-GB" w:eastAsia="en-GB"/>
              </w:rPr>
              <w:t xml:space="preserve">LOWER in UK for </w:t>
            </w:r>
            <w:proofErr w:type="spellStart"/>
            <w:r w:rsidRPr="00A472F5">
              <w:rPr>
                <w:rFonts w:eastAsia="Times New Roman"/>
                <w:color w:val="7030A0"/>
                <w:sz w:val="20"/>
                <w:szCs w:val="20"/>
                <w:lang w:val="en-GB" w:eastAsia="en-GB"/>
              </w:rPr>
              <w:t>pestos</w:t>
            </w:r>
            <w:proofErr w:type="spellEnd"/>
            <w:r w:rsidRPr="00A472F5">
              <w:rPr>
                <w:rFonts w:eastAsia="Times New Roman"/>
                <w:color w:val="7030A0"/>
                <w:sz w:val="20"/>
                <w:szCs w:val="20"/>
                <w:lang w:val="en-GB" w:eastAsia="en-GB"/>
              </w:rPr>
              <w:t xml:space="preserve"> (550mg) and gravies (380mg).</w:t>
            </w:r>
          </w:p>
        </w:tc>
      </w:tr>
      <w:tr w:rsidR="00ED3FD2" w:rsidRPr="00DB2177" w14:paraId="121A710B" w14:textId="77777777" w:rsidTr="00FB5819">
        <w:trPr>
          <w:trHeight w:val="568"/>
        </w:trPr>
        <w:tc>
          <w:tcPr>
            <w:tcW w:w="1271" w:type="dxa"/>
            <w:shd w:val="clear" w:color="auto" w:fill="FFFFFF" w:themeFill="background1"/>
            <w:vAlign w:val="center"/>
          </w:tcPr>
          <w:p w14:paraId="5A3D1738"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Soup</w:t>
            </w:r>
          </w:p>
        </w:tc>
        <w:tc>
          <w:tcPr>
            <w:tcW w:w="1843" w:type="dxa"/>
            <w:shd w:val="clear" w:color="auto" w:fill="FFFFFF" w:themeFill="background1"/>
            <w:vAlign w:val="center"/>
          </w:tcPr>
          <w:p w14:paraId="74B0AACA"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280mg</w:t>
            </w:r>
          </w:p>
        </w:tc>
        <w:tc>
          <w:tcPr>
            <w:tcW w:w="6662" w:type="dxa"/>
            <w:shd w:val="clear" w:color="auto" w:fill="FFFFFF" w:themeFill="background1"/>
            <w:vAlign w:val="center"/>
          </w:tcPr>
          <w:p w14:paraId="3894F35B" w14:textId="77777777" w:rsidR="00ED3FD2" w:rsidRPr="00A472F5" w:rsidRDefault="00ED3FD2" w:rsidP="00FB5819">
            <w:pPr>
              <w:spacing w:after="0"/>
              <w:rPr>
                <w:rFonts w:eastAsia="Times New Roman"/>
                <w:color w:val="00B0F0"/>
                <w:sz w:val="20"/>
                <w:szCs w:val="20"/>
                <w:lang w:val="en-GB" w:eastAsia="en-GB"/>
              </w:rPr>
            </w:pPr>
            <w:r w:rsidRPr="00A472F5">
              <w:rPr>
                <w:rFonts w:eastAsia="Times New Roman"/>
                <w:color w:val="00B0F0"/>
                <w:sz w:val="20"/>
                <w:szCs w:val="20"/>
                <w:lang w:val="en-GB" w:eastAsia="en-GB"/>
              </w:rPr>
              <w:t xml:space="preserve">HIGHER in Argentina (306-430mg) </w:t>
            </w:r>
          </w:p>
          <w:p w14:paraId="4548BA28" w14:textId="77777777" w:rsidR="00ED3FD2" w:rsidRPr="00A472F5" w:rsidRDefault="00ED3FD2" w:rsidP="00FB5819">
            <w:pPr>
              <w:spacing w:after="0"/>
              <w:rPr>
                <w:rFonts w:eastAsia="Times New Roman"/>
                <w:color w:val="70AD47" w:themeColor="accent6"/>
                <w:sz w:val="20"/>
                <w:szCs w:val="20"/>
                <w:lang w:val="en-GB" w:eastAsia="en-GB"/>
              </w:rPr>
            </w:pPr>
            <w:r w:rsidRPr="00A472F5">
              <w:rPr>
                <w:rFonts w:eastAsia="Times New Roman"/>
                <w:color w:val="7030A0"/>
                <w:sz w:val="20"/>
                <w:szCs w:val="20"/>
                <w:lang w:val="en-GB" w:eastAsia="en-GB"/>
              </w:rPr>
              <w:t>LOWER in UK (250mg). HIGHER for Americas (306-360mg)</w:t>
            </w:r>
          </w:p>
        </w:tc>
      </w:tr>
      <w:tr w:rsidR="00ED3FD2" w:rsidRPr="00DB2177" w14:paraId="39FC3F19" w14:textId="77777777" w:rsidTr="00FB5819">
        <w:trPr>
          <w:trHeight w:val="446"/>
        </w:trPr>
        <w:tc>
          <w:tcPr>
            <w:tcW w:w="1271" w:type="dxa"/>
            <w:shd w:val="clear" w:color="auto" w:fill="FFFFFF" w:themeFill="background1"/>
            <w:vAlign w:val="center"/>
          </w:tcPr>
          <w:p w14:paraId="1B6F64AD"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Savoury Pastries</w:t>
            </w:r>
          </w:p>
        </w:tc>
        <w:tc>
          <w:tcPr>
            <w:tcW w:w="1843" w:type="dxa"/>
            <w:shd w:val="clear" w:color="auto" w:fill="FFFFFF" w:themeFill="background1"/>
            <w:vAlign w:val="center"/>
          </w:tcPr>
          <w:p w14:paraId="1B7604BC"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500mg (dry), 400mg (wet)</w:t>
            </w:r>
          </w:p>
        </w:tc>
        <w:tc>
          <w:tcPr>
            <w:tcW w:w="6662" w:type="dxa"/>
            <w:shd w:val="clear" w:color="auto" w:fill="FFFFFF" w:themeFill="background1"/>
          </w:tcPr>
          <w:p w14:paraId="19A06981" w14:textId="77777777" w:rsidR="00ED3FD2" w:rsidRPr="00A472F5" w:rsidRDefault="00ED3FD2" w:rsidP="00FB5819">
            <w:pPr>
              <w:spacing w:after="0"/>
              <w:rPr>
                <w:rFonts w:eastAsia="Times New Roman"/>
                <w:color w:val="70AD47" w:themeColor="accent6"/>
                <w:sz w:val="20"/>
                <w:szCs w:val="20"/>
                <w:lang w:val="en-GB" w:eastAsia="en-GB"/>
              </w:rPr>
            </w:pPr>
            <w:r w:rsidRPr="00A472F5">
              <w:rPr>
                <w:rFonts w:eastAsia="Times New Roman"/>
                <w:color w:val="7030A0"/>
                <w:sz w:val="20"/>
                <w:szCs w:val="20"/>
                <w:lang w:val="en-GB" w:eastAsia="en-GB"/>
              </w:rPr>
              <w:t>SIMILAR in UK for pies (450mg), pasties (400mg) and other meat pastries (300mg), although difficult to compare categories.</w:t>
            </w:r>
          </w:p>
        </w:tc>
      </w:tr>
      <w:tr w:rsidR="00ED3FD2" w:rsidRPr="00DB2177" w14:paraId="0EBAB62E" w14:textId="77777777" w:rsidTr="00FB5819">
        <w:trPr>
          <w:trHeight w:val="745"/>
        </w:trPr>
        <w:tc>
          <w:tcPr>
            <w:tcW w:w="1271" w:type="dxa"/>
            <w:shd w:val="clear" w:color="auto" w:fill="FFFFFF" w:themeFill="background1"/>
            <w:vAlign w:val="center"/>
          </w:tcPr>
          <w:p w14:paraId="1D0D75A1"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Cheese</w:t>
            </w:r>
          </w:p>
        </w:tc>
        <w:tc>
          <w:tcPr>
            <w:tcW w:w="1843" w:type="dxa"/>
            <w:shd w:val="clear" w:color="auto" w:fill="FFFFFF" w:themeFill="background1"/>
            <w:vAlign w:val="center"/>
          </w:tcPr>
          <w:p w14:paraId="28666945"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450mg (Cheddar), 1270mg (Processed)</w:t>
            </w:r>
          </w:p>
        </w:tc>
        <w:tc>
          <w:tcPr>
            <w:tcW w:w="6662" w:type="dxa"/>
            <w:shd w:val="clear" w:color="auto" w:fill="FFFFFF" w:themeFill="background1"/>
          </w:tcPr>
          <w:p w14:paraId="7BE1565A" w14:textId="77777777" w:rsidR="00ED3FD2" w:rsidRPr="00A472F5" w:rsidRDefault="00ED3FD2" w:rsidP="00FB5819">
            <w:pPr>
              <w:spacing w:after="0"/>
              <w:rPr>
                <w:rFonts w:eastAsia="Times New Roman"/>
                <w:color w:val="7030A0"/>
                <w:sz w:val="20"/>
                <w:szCs w:val="20"/>
                <w:lang w:val="en-GB" w:eastAsia="en-GB"/>
              </w:rPr>
            </w:pPr>
            <w:r w:rsidRPr="00A472F5">
              <w:rPr>
                <w:rFonts w:eastAsia="Times New Roman"/>
                <w:color w:val="7030A0"/>
                <w:sz w:val="20"/>
                <w:szCs w:val="20"/>
                <w:lang w:val="en-GB" w:eastAsia="en-GB"/>
              </w:rPr>
              <w:t>Significantly HIGHER in UK (700mg) and Canada (2530mg) for cheddar. Significantly LOWER for processed cheese in UK (800mg).</w:t>
            </w:r>
          </w:p>
        </w:tc>
      </w:tr>
      <w:tr w:rsidR="00ED3FD2" w:rsidRPr="00DB2177" w14:paraId="06246E3A" w14:textId="77777777" w:rsidTr="00FB5819">
        <w:trPr>
          <w:trHeight w:val="487"/>
        </w:trPr>
        <w:tc>
          <w:tcPr>
            <w:tcW w:w="1271" w:type="dxa"/>
            <w:shd w:val="clear" w:color="auto" w:fill="FFFFFF" w:themeFill="background1"/>
            <w:vAlign w:val="center"/>
          </w:tcPr>
          <w:p w14:paraId="2BEBC360" w14:textId="77777777" w:rsidR="00ED3FD2" w:rsidRPr="00A472F5" w:rsidRDefault="00ED3FD2" w:rsidP="00FB5819">
            <w:pPr>
              <w:spacing w:after="0"/>
              <w:rPr>
                <w:rFonts w:eastAsia="Times New Roman"/>
                <w:color w:val="000000"/>
                <w:sz w:val="20"/>
                <w:szCs w:val="20"/>
                <w:lang w:val="en-GB" w:eastAsia="en-GB"/>
              </w:rPr>
            </w:pPr>
            <w:r w:rsidRPr="00A472F5">
              <w:rPr>
                <w:rFonts w:eastAsia="Times New Roman"/>
                <w:color w:val="000000"/>
                <w:sz w:val="20"/>
                <w:szCs w:val="20"/>
                <w:lang w:eastAsia="en-GB"/>
              </w:rPr>
              <w:t>Sweet bakery</w:t>
            </w:r>
          </w:p>
        </w:tc>
        <w:tc>
          <w:tcPr>
            <w:tcW w:w="1843" w:type="dxa"/>
            <w:shd w:val="clear" w:color="auto" w:fill="FFFFFF" w:themeFill="background1"/>
            <w:vAlign w:val="center"/>
          </w:tcPr>
          <w:p w14:paraId="0EB30A5A"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360mg (Cakes, muffins and slices)</w:t>
            </w:r>
          </w:p>
        </w:tc>
        <w:tc>
          <w:tcPr>
            <w:tcW w:w="6662" w:type="dxa"/>
            <w:shd w:val="clear" w:color="auto" w:fill="FFFFFF" w:themeFill="background1"/>
          </w:tcPr>
          <w:p w14:paraId="05A0D552" w14:textId="77777777" w:rsidR="00ED3FD2" w:rsidRPr="00A472F5" w:rsidRDefault="00ED3FD2" w:rsidP="00FB5819">
            <w:pPr>
              <w:spacing w:after="0"/>
              <w:rPr>
                <w:rFonts w:eastAsia="Times New Roman"/>
                <w:color w:val="7030A0"/>
                <w:sz w:val="20"/>
                <w:szCs w:val="20"/>
                <w:lang w:val="en-GB" w:eastAsia="en-GB"/>
              </w:rPr>
            </w:pPr>
            <w:r w:rsidRPr="00A472F5">
              <w:rPr>
                <w:rFonts w:eastAsia="Times New Roman"/>
                <w:color w:val="7030A0"/>
                <w:sz w:val="20"/>
                <w:szCs w:val="20"/>
                <w:u w:val="single"/>
                <w:lang w:val="en-GB" w:eastAsia="en-GB"/>
              </w:rPr>
              <w:t>Range: 204mg – 400mg.</w:t>
            </w:r>
            <w:r w:rsidRPr="00A472F5">
              <w:rPr>
                <w:rFonts w:eastAsia="Times New Roman"/>
                <w:color w:val="7030A0"/>
                <w:sz w:val="20"/>
                <w:szCs w:val="20"/>
                <w:lang w:val="en-GB" w:eastAsia="en-GB"/>
              </w:rPr>
              <w:t xml:space="preserve"> LOWER targets for most international examples</w:t>
            </w:r>
          </w:p>
        </w:tc>
      </w:tr>
      <w:tr w:rsidR="00ED3FD2" w:rsidRPr="00DB2177" w14:paraId="1445D1E3" w14:textId="77777777" w:rsidTr="00FB5819">
        <w:trPr>
          <w:trHeight w:val="1116"/>
        </w:trPr>
        <w:tc>
          <w:tcPr>
            <w:tcW w:w="1271" w:type="dxa"/>
            <w:shd w:val="clear" w:color="auto" w:fill="FFFFFF" w:themeFill="background1"/>
            <w:vAlign w:val="center"/>
          </w:tcPr>
          <w:p w14:paraId="3EA56CD4"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Savoury biscuits</w:t>
            </w:r>
          </w:p>
        </w:tc>
        <w:tc>
          <w:tcPr>
            <w:tcW w:w="1843" w:type="dxa"/>
            <w:shd w:val="clear" w:color="auto" w:fill="FFFFFF" w:themeFill="background1"/>
            <w:vAlign w:val="center"/>
          </w:tcPr>
          <w:p w14:paraId="6B4CDEF9"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630mg (plain), 270mg (plain corn/rice), 720mg (flavoured)</w:t>
            </w:r>
          </w:p>
        </w:tc>
        <w:tc>
          <w:tcPr>
            <w:tcW w:w="6662" w:type="dxa"/>
            <w:shd w:val="clear" w:color="auto" w:fill="FFFFFF" w:themeFill="background1"/>
            <w:vAlign w:val="center"/>
          </w:tcPr>
          <w:p w14:paraId="7F12EE1D" w14:textId="77777777" w:rsidR="00ED3FD2" w:rsidRPr="00A472F5" w:rsidRDefault="00ED3FD2" w:rsidP="00FB5819">
            <w:pPr>
              <w:spacing w:after="0"/>
              <w:rPr>
                <w:rFonts w:eastAsia="Times New Roman"/>
                <w:color w:val="7030A0"/>
                <w:sz w:val="20"/>
                <w:szCs w:val="20"/>
                <w:lang w:val="en-GB" w:eastAsia="en-GB"/>
              </w:rPr>
            </w:pPr>
            <w:r w:rsidRPr="00A472F5">
              <w:rPr>
                <w:rFonts w:eastAsia="Times New Roman"/>
                <w:color w:val="7030A0"/>
                <w:sz w:val="20"/>
                <w:szCs w:val="20"/>
                <w:u w:val="single"/>
                <w:lang w:val="en-GB" w:eastAsia="en-GB"/>
              </w:rPr>
              <w:t>Range: 700mg to 930mg</w:t>
            </w:r>
            <w:r w:rsidRPr="00A472F5">
              <w:rPr>
                <w:rFonts w:eastAsia="Times New Roman"/>
                <w:color w:val="7030A0"/>
                <w:sz w:val="20"/>
                <w:szCs w:val="20"/>
                <w:lang w:val="en-GB" w:eastAsia="en-GB"/>
              </w:rPr>
              <w:t>. HIGHER for most international examples.</w:t>
            </w:r>
          </w:p>
        </w:tc>
      </w:tr>
      <w:tr w:rsidR="00ED3FD2" w:rsidRPr="00DB2177" w14:paraId="4EACF791" w14:textId="77777777" w:rsidTr="00FB5819">
        <w:trPr>
          <w:trHeight w:val="473"/>
        </w:trPr>
        <w:tc>
          <w:tcPr>
            <w:tcW w:w="1271" w:type="dxa"/>
            <w:shd w:val="clear" w:color="auto" w:fill="auto"/>
            <w:vAlign w:val="center"/>
          </w:tcPr>
          <w:p w14:paraId="5591B4F9" w14:textId="77777777" w:rsidR="00ED3FD2" w:rsidRPr="00A472F5" w:rsidRDefault="00ED3FD2" w:rsidP="00FB5819">
            <w:pPr>
              <w:spacing w:after="0"/>
              <w:rPr>
                <w:rFonts w:eastAsia="Times New Roman"/>
                <w:color w:val="000000"/>
                <w:sz w:val="20"/>
                <w:szCs w:val="20"/>
                <w:lang w:val="en-GB" w:eastAsia="en-GB"/>
              </w:rPr>
            </w:pPr>
            <w:r w:rsidRPr="00A472F5">
              <w:rPr>
                <w:rFonts w:eastAsia="Times New Roman"/>
                <w:color w:val="000000"/>
                <w:sz w:val="20"/>
                <w:szCs w:val="20"/>
                <w:lang w:eastAsia="en-GB"/>
              </w:rPr>
              <w:t>Savoury snacks</w:t>
            </w:r>
          </w:p>
        </w:tc>
        <w:tc>
          <w:tcPr>
            <w:tcW w:w="1843" w:type="dxa"/>
            <w:shd w:val="clear" w:color="auto" w:fill="auto"/>
            <w:vAlign w:val="center"/>
          </w:tcPr>
          <w:p w14:paraId="51D8A78C"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500mg (potato), 720mg (extruded, pelleted), 450mg (vegetable/ grain/ other)</w:t>
            </w:r>
          </w:p>
        </w:tc>
        <w:tc>
          <w:tcPr>
            <w:tcW w:w="6662" w:type="dxa"/>
            <w:shd w:val="clear" w:color="auto" w:fill="auto"/>
            <w:vAlign w:val="center"/>
          </w:tcPr>
          <w:p w14:paraId="7FA07FB2" w14:textId="77777777" w:rsidR="00ED3FD2" w:rsidRPr="00A472F5" w:rsidRDefault="00ED3FD2" w:rsidP="00FB5819">
            <w:pPr>
              <w:spacing w:after="0"/>
              <w:rPr>
                <w:rFonts w:eastAsia="Times New Roman"/>
                <w:color w:val="00B0F0"/>
                <w:sz w:val="20"/>
                <w:szCs w:val="20"/>
                <w:lang w:val="en-GB" w:eastAsia="en-GB"/>
              </w:rPr>
            </w:pPr>
            <w:r w:rsidRPr="00A472F5">
              <w:rPr>
                <w:rFonts w:eastAsia="Times New Roman"/>
                <w:color w:val="00B0F0"/>
                <w:sz w:val="20"/>
                <w:szCs w:val="20"/>
                <w:lang w:val="en-GB" w:eastAsia="en-GB"/>
              </w:rPr>
              <w:t xml:space="preserve">HIGHER for South Africa potato chip category (550mg) and Argentina’s overall limit (940-952mg). South Africa’s general limit (700mg) is </w:t>
            </w:r>
            <w:proofErr w:type="gramStart"/>
            <w:r w:rsidRPr="00A472F5">
              <w:rPr>
                <w:rFonts w:eastAsia="Times New Roman"/>
                <w:color w:val="00B0F0"/>
                <w:sz w:val="20"/>
                <w:szCs w:val="20"/>
                <w:lang w:val="en-GB" w:eastAsia="en-GB"/>
              </w:rPr>
              <w:t>SIMILAR to</w:t>
            </w:r>
            <w:proofErr w:type="gramEnd"/>
            <w:r w:rsidRPr="00A472F5">
              <w:rPr>
                <w:rFonts w:eastAsia="Times New Roman"/>
                <w:color w:val="00B0F0"/>
                <w:sz w:val="20"/>
                <w:szCs w:val="20"/>
                <w:lang w:val="en-GB" w:eastAsia="en-GB"/>
              </w:rPr>
              <w:t xml:space="preserve"> HFP extruded and pelleted snacks limit, however HIGHER for HFP vegetable, grain and other snacks limit.</w:t>
            </w:r>
          </w:p>
          <w:p w14:paraId="4B4FC7B3" w14:textId="77777777" w:rsidR="00ED3FD2" w:rsidRPr="00A472F5" w:rsidRDefault="00ED3FD2" w:rsidP="00FB5819">
            <w:pPr>
              <w:spacing w:after="0"/>
              <w:rPr>
                <w:rFonts w:eastAsia="Times New Roman"/>
                <w:color w:val="70AD47" w:themeColor="accent6"/>
                <w:sz w:val="20"/>
                <w:szCs w:val="20"/>
                <w:lang w:val="en-GB" w:eastAsia="en-GB"/>
              </w:rPr>
            </w:pPr>
            <w:r w:rsidRPr="00A472F5">
              <w:rPr>
                <w:rFonts w:eastAsia="Times New Roman"/>
                <w:color w:val="7030A0"/>
                <w:sz w:val="20"/>
                <w:szCs w:val="20"/>
                <w:lang w:val="en-GB" w:eastAsia="en-GB"/>
              </w:rPr>
              <w:lastRenderedPageBreak/>
              <w:t xml:space="preserve">All HIGHER apart from the PAHO lower limits (530mg potato and extruded corn, 700mg biscuits and crackers). HIGHER examples include UK for potato chips (580mg) and extruded and pelleted snacks (850mg), and Canada for chips, </w:t>
            </w:r>
            <w:proofErr w:type="gramStart"/>
            <w:r w:rsidRPr="00A472F5">
              <w:rPr>
                <w:rFonts w:eastAsia="Times New Roman"/>
                <w:color w:val="7030A0"/>
                <w:sz w:val="20"/>
                <w:szCs w:val="20"/>
                <w:lang w:val="en-GB" w:eastAsia="en-GB"/>
              </w:rPr>
              <w:t>popcorn</w:t>
            </w:r>
            <w:proofErr w:type="gramEnd"/>
            <w:r w:rsidRPr="00A472F5">
              <w:rPr>
                <w:rFonts w:eastAsia="Times New Roman"/>
                <w:color w:val="7030A0"/>
                <w:sz w:val="20"/>
                <w:szCs w:val="20"/>
                <w:lang w:val="en-GB" w:eastAsia="en-GB"/>
              </w:rPr>
              <w:t xml:space="preserve"> and extruded corn (880mg) and pretzels/snack mix (1400mg).</w:t>
            </w:r>
          </w:p>
        </w:tc>
      </w:tr>
      <w:tr w:rsidR="00ED3FD2" w:rsidRPr="00DB2177" w14:paraId="6ECF69E6" w14:textId="77777777" w:rsidTr="00FB5819">
        <w:trPr>
          <w:trHeight w:val="763"/>
        </w:trPr>
        <w:tc>
          <w:tcPr>
            <w:tcW w:w="1271" w:type="dxa"/>
            <w:shd w:val="clear" w:color="auto" w:fill="auto"/>
            <w:vAlign w:val="center"/>
          </w:tcPr>
          <w:p w14:paraId="5CA251D6" w14:textId="6C2527F2" w:rsidR="00ED3FD2" w:rsidRPr="00A472F5" w:rsidRDefault="00ED3FD2" w:rsidP="00FB5819">
            <w:pPr>
              <w:spacing w:after="0"/>
              <w:rPr>
                <w:rFonts w:eastAsia="Times New Roman"/>
                <w:color w:val="000000"/>
                <w:sz w:val="20"/>
                <w:szCs w:val="20"/>
                <w:lang w:val="en-GB" w:eastAsia="en-GB"/>
              </w:rPr>
            </w:pPr>
            <w:r w:rsidRPr="00A472F5">
              <w:rPr>
                <w:rFonts w:eastAsia="Times New Roman"/>
                <w:color w:val="000000"/>
                <w:sz w:val="20"/>
                <w:szCs w:val="20"/>
                <w:lang w:eastAsia="en-GB"/>
              </w:rPr>
              <w:lastRenderedPageBreak/>
              <w:t>Crumbed, battered proteins</w:t>
            </w:r>
          </w:p>
        </w:tc>
        <w:tc>
          <w:tcPr>
            <w:tcW w:w="1843" w:type="dxa"/>
            <w:shd w:val="clear" w:color="auto" w:fill="auto"/>
            <w:vAlign w:val="center"/>
          </w:tcPr>
          <w:p w14:paraId="5A2A689D" w14:textId="77777777" w:rsidR="00ED3FD2" w:rsidRPr="00A472F5" w:rsidRDefault="00ED3FD2" w:rsidP="00FB5819">
            <w:pPr>
              <w:spacing w:after="0"/>
              <w:rPr>
                <w:rFonts w:eastAsia="Times New Roman"/>
                <w:color w:val="000000"/>
                <w:sz w:val="20"/>
                <w:szCs w:val="20"/>
                <w:lang w:eastAsia="en-GB"/>
              </w:rPr>
            </w:pPr>
            <w:r w:rsidRPr="00A472F5">
              <w:rPr>
                <w:rFonts w:eastAsia="Times New Roman"/>
                <w:color w:val="000000"/>
                <w:sz w:val="20"/>
                <w:szCs w:val="20"/>
                <w:lang w:eastAsia="en-GB"/>
              </w:rPr>
              <w:t>450mg (meat, poultry), 270mg (seafood)</w:t>
            </w:r>
          </w:p>
        </w:tc>
        <w:tc>
          <w:tcPr>
            <w:tcW w:w="6662" w:type="dxa"/>
            <w:shd w:val="clear" w:color="auto" w:fill="auto"/>
            <w:noWrap/>
            <w:vAlign w:val="bottom"/>
          </w:tcPr>
          <w:p w14:paraId="27FC4220" w14:textId="77777777" w:rsidR="00ED3FD2" w:rsidRPr="00A472F5" w:rsidRDefault="00ED3FD2" w:rsidP="00FB5819">
            <w:pPr>
              <w:spacing w:after="0"/>
              <w:rPr>
                <w:rFonts w:eastAsia="Times New Roman"/>
                <w:color w:val="00B0F0"/>
                <w:sz w:val="20"/>
                <w:szCs w:val="20"/>
                <w:lang w:val="en-GB" w:eastAsia="en-GB"/>
              </w:rPr>
            </w:pPr>
            <w:r w:rsidRPr="00A472F5">
              <w:rPr>
                <w:rFonts w:eastAsia="Times New Roman"/>
                <w:color w:val="00B0F0"/>
                <w:sz w:val="20"/>
                <w:szCs w:val="20"/>
                <w:lang w:val="en-GB" w:eastAsia="en-GB"/>
              </w:rPr>
              <w:t>Much HIGHER in Argentina for meat and poultry (736mg)</w:t>
            </w:r>
          </w:p>
          <w:p w14:paraId="13819F78" w14:textId="77777777" w:rsidR="00ED3FD2" w:rsidRPr="00A472F5" w:rsidRDefault="00ED3FD2" w:rsidP="00FB5819">
            <w:pPr>
              <w:spacing w:after="0"/>
              <w:rPr>
                <w:rFonts w:eastAsia="Times New Roman"/>
                <w:color w:val="70AD47" w:themeColor="accent6"/>
                <w:sz w:val="20"/>
                <w:szCs w:val="20"/>
                <w:lang w:val="en-GB" w:eastAsia="en-GB"/>
              </w:rPr>
            </w:pPr>
            <w:r w:rsidRPr="00A472F5">
              <w:rPr>
                <w:rFonts w:eastAsia="Times New Roman"/>
                <w:color w:val="7030A0"/>
                <w:sz w:val="20"/>
                <w:szCs w:val="20"/>
                <w:lang w:val="en-GB" w:eastAsia="en-GB"/>
              </w:rPr>
              <w:t>All HIGHER. Significantly HIGHER for Canada (560mg - seafood) and Americas (470-735mg meat and poultry).</w:t>
            </w:r>
          </w:p>
        </w:tc>
      </w:tr>
    </w:tbl>
    <w:p w14:paraId="0AFF52A7" w14:textId="50CEADD4" w:rsidR="00C06A59" w:rsidRDefault="00C06A59" w:rsidP="00FB5819">
      <w:pPr>
        <w:pStyle w:val="Heading1"/>
        <w:pageBreakBefore/>
        <w:spacing w:before="120" w:after="120"/>
      </w:pPr>
      <w:bookmarkStart w:id="100" w:name="_Toc54273240"/>
      <w:r>
        <w:lastRenderedPageBreak/>
        <w:t xml:space="preserve">Appendix </w:t>
      </w:r>
      <w:bookmarkEnd w:id="97"/>
      <w:bookmarkEnd w:id="98"/>
      <w:r w:rsidR="007948FA">
        <w:t>3</w:t>
      </w:r>
      <w:bookmarkEnd w:id="100"/>
    </w:p>
    <w:p w14:paraId="0F044917" w14:textId="321D9DF4" w:rsidR="00C06A59" w:rsidRPr="00C06A59" w:rsidRDefault="00D35DED">
      <w:pPr>
        <w:pStyle w:val="Heading2"/>
        <w:jc w:val="center"/>
      </w:pPr>
      <w:bookmarkStart w:id="101" w:name="_Toc49506078"/>
      <w:bookmarkStart w:id="102" w:name="_Toc49506926"/>
      <w:bookmarkStart w:id="103" w:name="_Toc54273241"/>
      <w:r>
        <w:t xml:space="preserve">New Zealand’s </w:t>
      </w:r>
      <w:r w:rsidR="00C06A59" w:rsidRPr="00CD2E1F">
        <w:t xml:space="preserve">Heart Foundation Food Reformulation </w:t>
      </w:r>
      <w:r w:rsidR="00C06A59">
        <w:t>Program</w:t>
      </w:r>
      <w:bookmarkEnd w:id="101"/>
      <w:bookmarkEnd w:id="102"/>
      <w:bookmarkEnd w:id="103"/>
      <w:r w:rsidR="00314224">
        <w:t xml:space="preserve"> </w:t>
      </w:r>
      <w:bookmarkStart w:id="104" w:name="_Toc49506079"/>
      <w:bookmarkStart w:id="105" w:name="_Toc49506927"/>
      <w:bookmarkStart w:id="106" w:name="_Toc49513277"/>
      <w:bookmarkStart w:id="107" w:name="_Toc49513415"/>
      <w:bookmarkStart w:id="108" w:name="_Toc54273190"/>
      <w:bookmarkStart w:id="109" w:name="_Toc54273242"/>
      <w:r w:rsidR="00C06A59" w:rsidRPr="00CD2E1F">
        <w:t xml:space="preserve">Targets </w:t>
      </w:r>
      <w:r w:rsidR="00C06A59">
        <w:t>and Progress</w:t>
      </w:r>
      <w:bookmarkEnd w:id="104"/>
      <w:bookmarkEnd w:id="105"/>
      <w:bookmarkEnd w:id="106"/>
      <w:bookmarkEnd w:id="107"/>
      <w:bookmarkEnd w:id="108"/>
      <w:bookmarkEnd w:id="109"/>
    </w:p>
    <w:p w14:paraId="3274B34D" w14:textId="75004134" w:rsidR="00C06A59" w:rsidRPr="00C06A59" w:rsidRDefault="00C06A59" w:rsidP="00C06A59">
      <w:r w:rsidRPr="00C06A59">
        <w:t>August 2020</w:t>
      </w:r>
    </w:p>
    <w:p w14:paraId="608DACC1" w14:textId="51088676" w:rsidR="00C06A59" w:rsidRPr="00C06A59" w:rsidRDefault="00C06A59" w:rsidP="009E5A41">
      <w:r w:rsidRPr="00C06A59">
        <w:t>The following table summarises the food categories/sub-categories, nutrient targets, implementation timeframes and progress. Forty-eight targets for sodium, saturated fat and/or total sugar reduction have been set for 38 f</w:t>
      </w:r>
      <w:r w:rsidR="009E5A41">
        <w:t xml:space="preserve">ood categories/sub-categories. </w:t>
      </w:r>
    </w:p>
    <w:tbl>
      <w:tblPr>
        <w:tblStyle w:val="TableGrid"/>
        <w:tblW w:w="0" w:type="auto"/>
        <w:tblLook w:val="04A0" w:firstRow="1" w:lastRow="0" w:firstColumn="1" w:lastColumn="0" w:noHBand="0" w:noVBand="1"/>
        <w:tblCaption w:val="Food categories and sub categories, nutrient targets, implementation timeframes and progress for New Zealand reformulation program"/>
        <w:tblDescription w:val="Table with 4 columns. Column 1: Category. Column 2: Nutrient target (maximum). Column 3: Timeframe. Column 4: Progress. "/>
      </w:tblPr>
      <w:tblGrid>
        <w:gridCol w:w="1978"/>
        <w:gridCol w:w="2127"/>
        <w:gridCol w:w="1986"/>
        <w:gridCol w:w="2925"/>
      </w:tblGrid>
      <w:tr w:rsidR="00C06A59" w:rsidRPr="00C06A59" w14:paraId="77E2C56C" w14:textId="77777777" w:rsidTr="008C1500">
        <w:trPr>
          <w:tblHeader/>
        </w:trPr>
        <w:tc>
          <w:tcPr>
            <w:tcW w:w="1978" w:type="dxa"/>
          </w:tcPr>
          <w:p w14:paraId="362960AC" w14:textId="77777777" w:rsidR="00C06A59" w:rsidRPr="00C06A59" w:rsidRDefault="00C06A59" w:rsidP="00DE5FE6">
            <w:pPr>
              <w:jc w:val="center"/>
              <w:rPr>
                <w:b/>
              </w:rPr>
            </w:pPr>
            <w:r w:rsidRPr="00C06A59">
              <w:rPr>
                <w:b/>
              </w:rPr>
              <w:t>Category</w:t>
            </w:r>
          </w:p>
        </w:tc>
        <w:tc>
          <w:tcPr>
            <w:tcW w:w="2127" w:type="dxa"/>
          </w:tcPr>
          <w:p w14:paraId="67BC109F" w14:textId="059E1FC1" w:rsidR="00C06A59" w:rsidRPr="00C06A59" w:rsidRDefault="00C06A59" w:rsidP="005C6ADF">
            <w:pPr>
              <w:jc w:val="center"/>
              <w:rPr>
                <w:b/>
              </w:rPr>
            </w:pPr>
            <w:r w:rsidRPr="00C06A59">
              <w:rPr>
                <w:b/>
              </w:rPr>
              <w:t xml:space="preserve">Nutrient Target </w:t>
            </w:r>
            <w:r w:rsidRPr="00C06A59">
              <w:rPr>
                <w:b/>
                <w:sz w:val="18"/>
              </w:rPr>
              <w:t>(maximum)</w:t>
            </w:r>
          </w:p>
        </w:tc>
        <w:tc>
          <w:tcPr>
            <w:tcW w:w="1986" w:type="dxa"/>
          </w:tcPr>
          <w:p w14:paraId="34D69893" w14:textId="77777777" w:rsidR="00C06A59" w:rsidRPr="00C06A59" w:rsidRDefault="00C06A59" w:rsidP="00DE5FE6">
            <w:pPr>
              <w:jc w:val="center"/>
              <w:rPr>
                <w:b/>
              </w:rPr>
            </w:pPr>
            <w:r w:rsidRPr="00C06A59">
              <w:rPr>
                <w:b/>
              </w:rPr>
              <w:t>Timeframe</w:t>
            </w:r>
          </w:p>
        </w:tc>
        <w:tc>
          <w:tcPr>
            <w:tcW w:w="2925" w:type="dxa"/>
          </w:tcPr>
          <w:p w14:paraId="27A82010" w14:textId="683BA5AE" w:rsidR="00C06A59" w:rsidRPr="00C06A59" w:rsidRDefault="00C06A59" w:rsidP="00DE5FE6">
            <w:pPr>
              <w:jc w:val="center"/>
              <w:rPr>
                <w:b/>
              </w:rPr>
            </w:pPr>
            <w:r w:rsidRPr="00C06A59">
              <w:rPr>
                <w:b/>
              </w:rPr>
              <w:t>Progress</w:t>
            </w:r>
            <w:r w:rsidR="00F82F80">
              <w:rPr>
                <w:rStyle w:val="FootnoteReference"/>
                <w:b/>
              </w:rPr>
              <w:footnoteReference w:id="181"/>
            </w:r>
            <w:r w:rsidRPr="00C06A59">
              <w:rPr>
                <w:b/>
              </w:rPr>
              <w:t xml:space="preserve"> </w:t>
            </w:r>
          </w:p>
        </w:tc>
      </w:tr>
      <w:tr w:rsidR="00C06A59" w:rsidRPr="00C06A59" w14:paraId="26DA1208" w14:textId="77777777" w:rsidTr="00DE5FE6">
        <w:tc>
          <w:tcPr>
            <w:tcW w:w="1978" w:type="dxa"/>
            <w:shd w:val="clear" w:color="auto" w:fill="auto"/>
          </w:tcPr>
          <w:p w14:paraId="14A56AE6" w14:textId="3B18C65E" w:rsidR="00C06A59" w:rsidRPr="00C06A59" w:rsidRDefault="00FB5819" w:rsidP="00DE5FE6">
            <w:pPr>
              <w:rPr>
                <w:b/>
                <w:sz w:val="18"/>
                <w:szCs w:val="18"/>
              </w:rPr>
            </w:pPr>
            <w:r>
              <w:rPr>
                <w:b/>
                <w:sz w:val="18"/>
                <w:szCs w:val="18"/>
              </w:rPr>
              <w:t>Bread</w:t>
            </w:r>
          </w:p>
        </w:tc>
        <w:tc>
          <w:tcPr>
            <w:tcW w:w="2127" w:type="dxa"/>
            <w:shd w:val="clear" w:color="auto" w:fill="auto"/>
          </w:tcPr>
          <w:p w14:paraId="2902A3E4" w14:textId="5FF6A007" w:rsidR="00C06A59" w:rsidRDefault="00C06A59" w:rsidP="00DE5FE6">
            <w:pPr>
              <w:rPr>
                <w:b/>
                <w:sz w:val="16"/>
                <w:szCs w:val="16"/>
              </w:rPr>
            </w:pPr>
            <w:r w:rsidRPr="00C06A59">
              <w:rPr>
                <w:b/>
                <w:sz w:val="16"/>
                <w:szCs w:val="16"/>
              </w:rPr>
              <w:t xml:space="preserve">Sodium </w:t>
            </w:r>
          </w:p>
          <w:p w14:paraId="54343EF2" w14:textId="77777777" w:rsidR="00715AEB" w:rsidRPr="00C06A59" w:rsidRDefault="00715AEB" w:rsidP="00715AEB">
            <w:pPr>
              <w:rPr>
                <w:b/>
                <w:bCs/>
                <w:sz w:val="16"/>
                <w:szCs w:val="16"/>
              </w:rPr>
            </w:pPr>
            <w:r w:rsidRPr="00C06A59">
              <w:rPr>
                <w:b/>
                <w:bCs/>
                <w:sz w:val="16"/>
                <w:szCs w:val="16"/>
              </w:rPr>
              <w:t>Leavened bread</w:t>
            </w:r>
          </w:p>
          <w:p w14:paraId="4D26DD9B" w14:textId="7BDEA78C" w:rsidR="00715AEB" w:rsidRPr="00FB5819" w:rsidRDefault="00C06A59" w:rsidP="00DE5FE6">
            <w:pPr>
              <w:rPr>
                <w:sz w:val="16"/>
                <w:szCs w:val="16"/>
              </w:rPr>
            </w:pPr>
            <w:r w:rsidRPr="00C06A59">
              <w:rPr>
                <w:sz w:val="16"/>
                <w:szCs w:val="16"/>
              </w:rPr>
              <w:t xml:space="preserve">380mg/100g </w:t>
            </w:r>
          </w:p>
          <w:p w14:paraId="7DA8A384" w14:textId="2DE534C9" w:rsidR="00715AEB" w:rsidRPr="00C06A59" w:rsidRDefault="00715AEB" w:rsidP="00DE5FE6">
            <w:pPr>
              <w:rPr>
                <w:sz w:val="16"/>
                <w:szCs w:val="16"/>
              </w:rPr>
            </w:pPr>
            <w:r w:rsidRPr="00C06A59">
              <w:rPr>
                <w:b/>
                <w:bCs/>
                <w:sz w:val="16"/>
                <w:szCs w:val="16"/>
              </w:rPr>
              <w:t>Unleavened bread</w:t>
            </w:r>
          </w:p>
          <w:p w14:paraId="3616D97F" w14:textId="77777777" w:rsidR="00C06A59" w:rsidRPr="00C06A59" w:rsidRDefault="00C06A59" w:rsidP="00DE5FE6">
            <w:pPr>
              <w:rPr>
                <w:sz w:val="16"/>
                <w:szCs w:val="16"/>
              </w:rPr>
            </w:pPr>
            <w:r w:rsidRPr="00C06A59">
              <w:rPr>
                <w:sz w:val="16"/>
                <w:szCs w:val="16"/>
              </w:rPr>
              <w:t xml:space="preserve">450mg/100g </w:t>
            </w:r>
          </w:p>
        </w:tc>
        <w:tc>
          <w:tcPr>
            <w:tcW w:w="1986" w:type="dxa"/>
            <w:shd w:val="clear" w:color="auto" w:fill="auto"/>
          </w:tcPr>
          <w:p w14:paraId="25A2A405" w14:textId="77777777" w:rsidR="00C06A59" w:rsidRPr="00C06A59" w:rsidRDefault="00C06A59" w:rsidP="00DE5FE6">
            <w:pPr>
              <w:rPr>
                <w:sz w:val="16"/>
                <w:szCs w:val="16"/>
              </w:rPr>
            </w:pPr>
            <w:r w:rsidRPr="00C06A59">
              <w:rPr>
                <w:sz w:val="16"/>
                <w:szCs w:val="16"/>
              </w:rPr>
              <w:t xml:space="preserve">Targets reset Aug </w:t>
            </w:r>
            <w:proofErr w:type="gramStart"/>
            <w:r w:rsidRPr="00C06A59">
              <w:rPr>
                <w:sz w:val="16"/>
                <w:szCs w:val="16"/>
              </w:rPr>
              <w:t>2018;</w:t>
            </w:r>
            <w:proofErr w:type="gramEnd"/>
          </w:p>
          <w:p w14:paraId="6E9C22D3" w14:textId="7E074C7B" w:rsidR="00C06A59" w:rsidRPr="00C06A59" w:rsidRDefault="00FB5819" w:rsidP="00DE5FE6">
            <w:pPr>
              <w:rPr>
                <w:sz w:val="16"/>
                <w:szCs w:val="16"/>
              </w:rPr>
            </w:pPr>
            <w:r>
              <w:rPr>
                <w:sz w:val="16"/>
                <w:szCs w:val="16"/>
              </w:rPr>
              <w:t>target review Dec 2022</w:t>
            </w:r>
          </w:p>
        </w:tc>
        <w:tc>
          <w:tcPr>
            <w:tcW w:w="2925" w:type="dxa"/>
            <w:shd w:val="clear" w:color="auto" w:fill="auto"/>
          </w:tcPr>
          <w:p w14:paraId="11156E86" w14:textId="5F5AC269" w:rsidR="00C06A59" w:rsidRPr="00C06A59" w:rsidRDefault="00C06A59" w:rsidP="00DE5FE6">
            <w:pPr>
              <w:rPr>
                <w:sz w:val="16"/>
                <w:szCs w:val="16"/>
              </w:rPr>
            </w:pPr>
            <w:r w:rsidRPr="00C06A59">
              <w:rPr>
                <w:sz w:val="16"/>
                <w:szCs w:val="16"/>
              </w:rPr>
              <w:t>2007-2008: Many companies did large reductions of around 20%</w:t>
            </w:r>
            <w:r w:rsidR="00FB5819">
              <w:rPr>
                <w:sz w:val="16"/>
                <w:szCs w:val="16"/>
              </w:rPr>
              <w:t xml:space="preserve"> to meet the target 450mg/100g.</w:t>
            </w:r>
          </w:p>
          <w:p w14:paraId="7E3DB310" w14:textId="7617F1E2" w:rsidR="00C06A59" w:rsidRPr="00C06A59" w:rsidRDefault="00C06A59" w:rsidP="00DE5FE6">
            <w:pPr>
              <w:rPr>
                <w:sz w:val="16"/>
                <w:szCs w:val="16"/>
              </w:rPr>
            </w:pPr>
            <w:r w:rsidRPr="00C06A59">
              <w:rPr>
                <w:sz w:val="16"/>
                <w:szCs w:val="16"/>
              </w:rPr>
              <w:t>2014: over 80% market share (by sales</w:t>
            </w:r>
            <w:r w:rsidR="00D813CA">
              <w:rPr>
                <w:sz w:val="16"/>
                <w:szCs w:val="16"/>
              </w:rPr>
              <w:t xml:space="preserve"> volume) met the 450mg target. </w:t>
            </w:r>
          </w:p>
          <w:p w14:paraId="70D52A9C" w14:textId="2B66EAF1" w:rsidR="00C06A59" w:rsidRPr="00C06A59" w:rsidRDefault="00FB5819" w:rsidP="00DE5FE6">
            <w:pPr>
              <w:rPr>
                <w:sz w:val="16"/>
                <w:szCs w:val="16"/>
              </w:rPr>
            </w:pPr>
            <w:r>
              <w:rPr>
                <w:sz w:val="16"/>
                <w:szCs w:val="16"/>
              </w:rPr>
              <w:t xml:space="preserve">Target was rest to 400mg/100g. </w:t>
            </w:r>
          </w:p>
          <w:p w14:paraId="28CEF6AD" w14:textId="2A5ABD6D" w:rsidR="00C06A59" w:rsidRPr="00C06A59" w:rsidRDefault="00C06A59" w:rsidP="00DE5FE6">
            <w:pPr>
              <w:rPr>
                <w:sz w:val="16"/>
                <w:szCs w:val="16"/>
              </w:rPr>
            </w:pPr>
            <w:r w:rsidRPr="00C06A59">
              <w:rPr>
                <w:sz w:val="16"/>
                <w:szCs w:val="16"/>
              </w:rPr>
              <w:t xml:space="preserve">2017: an additional 4.8% reduction had been achieved across the category. 73% market share (by sales volume) met the 400mg target. Over 176 tonnes of salt per annum removed from </w:t>
            </w:r>
            <w:r w:rsidR="00FB5819">
              <w:rPr>
                <w:sz w:val="16"/>
                <w:szCs w:val="16"/>
              </w:rPr>
              <w:t xml:space="preserve">this category (2007-Dec 2017). </w:t>
            </w:r>
          </w:p>
        </w:tc>
      </w:tr>
      <w:tr w:rsidR="00C06A59" w:rsidRPr="00C06A59" w14:paraId="0E999F29" w14:textId="77777777" w:rsidTr="00DE5FE6">
        <w:tc>
          <w:tcPr>
            <w:tcW w:w="1978" w:type="dxa"/>
          </w:tcPr>
          <w:p w14:paraId="64349E31" w14:textId="2D8A07D0" w:rsidR="00C06A59" w:rsidRPr="00C06A59" w:rsidRDefault="00FB5819" w:rsidP="00DE5FE6">
            <w:pPr>
              <w:rPr>
                <w:b/>
                <w:sz w:val="18"/>
                <w:szCs w:val="18"/>
              </w:rPr>
            </w:pPr>
            <w:r>
              <w:rPr>
                <w:b/>
                <w:sz w:val="18"/>
                <w:szCs w:val="18"/>
              </w:rPr>
              <w:t>Breakfast Cereals</w:t>
            </w:r>
          </w:p>
        </w:tc>
        <w:tc>
          <w:tcPr>
            <w:tcW w:w="2127" w:type="dxa"/>
          </w:tcPr>
          <w:p w14:paraId="51A5AAD2" w14:textId="00F5E4F3" w:rsidR="00C06A59" w:rsidRDefault="00C06A59" w:rsidP="00DE5FE6">
            <w:pPr>
              <w:rPr>
                <w:b/>
                <w:sz w:val="16"/>
                <w:szCs w:val="16"/>
              </w:rPr>
            </w:pPr>
            <w:r w:rsidRPr="00C06A59">
              <w:rPr>
                <w:b/>
                <w:sz w:val="16"/>
                <w:szCs w:val="16"/>
              </w:rPr>
              <w:t xml:space="preserve">Sodium </w:t>
            </w:r>
          </w:p>
          <w:p w14:paraId="2206D0E8" w14:textId="77777777" w:rsidR="00715AEB" w:rsidRPr="00C06A59" w:rsidRDefault="00715AEB" w:rsidP="00715AEB">
            <w:pPr>
              <w:rPr>
                <w:b/>
                <w:bCs/>
                <w:sz w:val="16"/>
                <w:szCs w:val="16"/>
              </w:rPr>
            </w:pPr>
            <w:r w:rsidRPr="00C06A59">
              <w:rPr>
                <w:b/>
                <w:bCs/>
                <w:sz w:val="16"/>
                <w:szCs w:val="16"/>
              </w:rPr>
              <w:t>Puffed rice &amp; corn flakes</w:t>
            </w:r>
          </w:p>
          <w:p w14:paraId="297FA040" w14:textId="6169B329" w:rsidR="00715AEB" w:rsidRDefault="00C06A59" w:rsidP="00DE5FE6">
            <w:pPr>
              <w:rPr>
                <w:sz w:val="16"/>
                <w:szCs w:val="16"/>
              </w:rPr>
            </w:pPr>
            <w:r w:rsidRPr="00C06A59">
              <w:rPr>
                <w:sz w:val="16"/>
                <w:szCs w:val="16"/>
              </w:rPr>
              <w:t>500mg/100g</w:t>
            </w:r>
          </w:p>
          <w:p w14:paraId="2F66362C" w14:textId="77777777" w:rsidR="00715AEB" w:rsidRPr="00C06A59" w:rsidRDefault="00715AEB" w:rsidP="00715AEB">
            <w:pPr>
              <w:rPr>
                <w:b/>
                <w:bCs/>
                <w:sz w:val="16"/>
                <w:szCs w:val="16"/>
              </w:rPr>
            </w:pPr>
            <w:r w:rsidRPr="00C06A59">
              <w:rPr>
                <w:b/>
                <w:bCs/>
                <w:sz w:val="16"/>
                <w:szCs w:val="16"/>
              </w:rPr>
              <w:t>Oat based muesli, porridge</w:t>
            </w:r>
          </w:p>
          <w:p w14:paraId="7C9BEEB7" w14:textId="32718639" w:rsidR="00715AEB" w:rsidRDefault="00C06A59" w:rsidP="00DE5FE6">
            <w:pPr>
              <w:rPr>
                <w:sz w:val="16"/>
                <w:szCs w:val="16"/>
              </w:rPr>
            </w:pPr>
            <w:r w:rsidRPr="00C06A59">
              <w:rPr>
                <w:sz w:val="16"/>
                <w:szCs w:val="16"/>
              </w:rPr>
              <w:t>200mg/100g</w:t>
            </w:r>
          </w:p>
          <w:p w14:paraId="69DB7448" w14:textId="20BA08F6" w:rsidR="00715AEB" w:rsidRPr="00C06A59" w:rsidRDefault="00715AEB" w:rsidP="00DE5FE6">
            <w:pPr>
              <w:rPr>
                <w:sz w:val="16"/>
                <w:szCs w:val="16"/>
              </w:rPr>
            </w:pPr>
            <w:r w:rsidRPr="00C06A59">
              <w:rPr>
                <w:b/>
                <w:bCs/>
                <w:sz w:val="16"/>
                <w:szCs w:val="16"/>
              </w:rPr>
              <w:t>Biscuits</w:t>
            </w:r>
          </w:p>
          <w:p w14:paraId="517DE475" w14:textId="3CA01147" w:rsidR="00715AEB" w:rsidRDefault="00FB5819" w:rsidP="00DE5FE6">
            <w:pPr>
              <w:rPr>
                <w:sz w:val="16"/>
                <w:szCs w:val="16"/>
              </w:rPr>
            </w:pPr>
            <w:r>
              <w:rPr>
                <w:sz w:val="16"/>
                <w:szCs w:val="16"/>
              </w:rPr>
              <w:t>300mg/100g</w:t>
            </w:r>
          </w:p>
          <w:p w14:paraId="43958626" w14:textId="77777777" w:rsidR="00715AEB" w:rsidRPr="00C06A59" w:rsidRDefault="00715AEB" w:rsidP="00715AEB">
            <w:pPr>
              <w:rPr>
                <w:b/>
                <w:bCs/>
                <w:sz w:val="16"/>
                <w:szCs w:val="16"/>
              </w:rPr>
            </w:pPr>
            <w:r w:rsidRPr="00C06A59">
              <w:rPr>
                <w:b/>
                <w:bCs/>
                <w:sz w:val="16"/>
                <w:szCs w:val="16"/>
              </w:rPr>
              <w:t>Other Ready-to Eat cereals</w:t>
            </w:r>
          </w:p>
          <w:p w14:paraId="53607A0F" w14:textId="7B7D70E3" w:rsidR="00715AEB" w:rsidRPr="00FB5819" w:rsidRDefault="00FB5819" w:rsidP="00715AEB">
            <w:pPr>
              <w:rPr>
                <w:sz w:val="16"/>
                <w:szCs w:val="16"/>
              </w:rPr>
            </w:pPr>
            <w:r>
              <w:rPr>
                <w:sz w:val="16"/>
                <w:szCs w:val="16"/>
              </w:rPr>
              <w:t>400mg/100g</w:t>
            </w:r>
          </w:p>
          <w:p w14:paraId="3D283ECD" w14:textId="373775A1" w:rsidR="00C06A59" w:rsidRPr="00C06A59" w:rsidRDefault="00715AEB" w:rsidP="00715AEB">
            <w:pPr>
              <w:rPr>
                <w:sz w:val="16"/>
                <w:szCs w:val="16"/>
              </w:rPr>
            </w:pPr>
            <w:r w:rsidRPr="00C06A59">
              <w:rPr>
                <w:b/>
                <w:bCs/>
                <w:sz w:val="16"/>
                <w:szCs w:val="16"/>
              </w:rPr>
              <w:t>All breakfast cereals</w:t>
            </w:r>
          </w:p>
          <w:p w14:paraId="700B4ECE" w14:textId="4F6DB218" w:rsidR="00C06A59" w:rsidRPr="00C06A59" w:rsidRDefault="00C06A59" w:rsidP="00DE5FE6">
            <w:pPr>
              <w:rPr>
                <w:b/>
                <w:sz w:val="16"/>
                <w:szCs w:val="16"/>
              </w:rPr>
            </w:pPr>
            <w:r w:rsidRPr="00C06A59">
              <w:rPr>
                <w:b/>
                <w:sz w:val="16"/>
                <w:szCs w:val="16"/>
              </w:rPr>
              <w:t>Total Sugar</w:t>
            </w:r>
          </w:p>
          <w:p w14:paraId="7CDB3975" w14:textId="77777777" w:rsidR="00C06A59" w:rsidRPr="00C06A59" w:rsidRDefault="00C06A59" w:rsidP="00DE5FE6">
            <w:pPr>
              <w:rPr>
                <w:sz w:val="16"/>
                <w:szCs w:val="16"/>
              </w:rPr>
            </w:pPr>
            <w:r w:rsidRPr="00C06A59">
              <w:rPr>
                <w:sz w:val="16"/>
                <w:szCs w:val="16"/>
              </w:rPr>
              <w:t>22.5g/100g OR 20% reduction for products significantly over 25g/100g</w:t>
            </w:r>
          </w:p>
          <w:p w14:paraId="01382AD4" w14:textId="77777777" w:rsidR="00C06A59" w:rsidRPr="00C06A59" w:rsidRDefault="00C06A59" w:rsidP="00DE5FE6">
            <w:pPr>
              <w:rPr>
                <w:sz w:val="16"/>
                <w:szCs w:val="16"/>
              </w:rPr>
            </w:pPr>
          </w:p>
        </w:tc>
        <w:tc>
          <w:tcPr>
            <w:tcW w:w="1986" w:type="dxa"/>
          </w:tcPr>
          <w:p w14:paraId="62CFBB17" w14:textId="77777777" w:rsidR="00C06A59" w:rsidRPr="00C06A59" w:rsidRDefault="00C06A59" w:rsidP="00DE5FE6">
            <w:pPr>
              <w:rPr>
                <w:sz w:val="16"/>
                <w:szCs w:val="16"/>
              </w:rPr>
            </w:pPr>
            <w:r w:rsidRPr="00C06A59">
              <w:rPr>
                <w:sz w:val="16"/>
                <w:szCs w:val="16"/>
              </w:rPr>
              <w:t xml:space="preserve">Targets reset Aug </w:t>
            </w:r>
            <w:proofErr w:type="gramStart"/>
            <w:r w:rsidRPr="00C06A59">
              <w:rPr>
                <w:sz w:val="16"/>
                <w:szCs w:val="16"/>
              </w:rPr>
              <w:t>2016;</w:t>
            </w:r>
            <w:proofErr w:type="gramEnd"/>
          </w:p>
          <w:p w14:paraId="1A22BFD1" w14:textId="1C9FA9EF" w:rsidR="00C06A59" w:rsidRPr="00C06A59" w:rsidRDefault="00FB5819" w:rsidP="00715AEB">
            <w:pPr>
              <w:rPr>
                <w:sz w:val="16"/>
                <w:szCs w:val="16"/>
              </w:rPr>
            </w:pPr>
            <w:r>
              <w:rPr>
                <w:sz w:val="16"/>
                <w:szCs w:val="16"/>
              </w:rPr>
              <w:t>target review Aug 2021</w:t>
            </w:r>
          </w:p>
        </w:tc>
        <w:tc>
          <w:tcPr>
            <w:tcW w:w="2925" w:type="dxa"/>
          </w:tcPr>
          <w:p w14:paraId="2F6DF13D" w14:textId="0A1AC722" w:rsidR="00C06A59" w:rsidRPr="00C06A59" w:rsidRDefault="00C06A59" w:rsidP="00DE5FE6">
            <w:pPr>
              <w:rPr>
                <w:sz w:val="16"/>
                <w:szCs w:val="16"/>
              </w:rPr>
            </w:pPr>
            <w:r w:rsidRPr="00C06A59">
              <w:rPr>
                <w:sz w:val="16"/>
                <w:szCs w:val="16"/>
              </w:rPr>
              <w:t>2010: Targets</w:t>
            </w:r>
            <w:r w:rsidR="00FB5819">
              <w:rPr>
                <w:sz w:val="16"/>
                <w:szCs w:val="16"/>
              </w:rPr>
              <w:t xml:space="preserve"> set</w:t>
            </w:r>
          </w:p>
          <w:p w14:paraId="6B9600D6" w14:textId="6203EB10" w:rsidR="00C06A59" w:rsidRPr="00C06A59" w:rsidRDefault="00C06A59" w:rsidP="00DE5FE6">
            <w:pPr>
              <w:rPr>
                <w:sz w:val="16"/>
                <w:szCs w:val="16"/>
              </w:rPr>
            </w:pPr>
            <w:r w:rsidRPr="00C06A59">
              <w:rPr>
                <w:sz w:val="16"/>
                <w:szCs w:val="16"/>
              </w:rPr>
              <w:t>2016 review: over 80% market sha</w:t>
            </w:r>
            <w:r w:rsidR="00FB5819">
              <w:rPr>
                <w:sz w:val="16"/>
                <w:szCs w:val="16"/>
              </w:rPr>
              <w:t>re met the 2010 sodium targets.</w:t>
            </w:r>
          </w:p>
          <w:p w14:paraId="5E80C941" w14:textId="49EA693D" w:rsidR="00C06A59" w:rsidRPr="00C06A59" w:rsidRDefault="00C06A59" w:rsidP="00DE5FE6">
            <w:pPr>
              <w:rPr>
                <w:sz w:val="16"/>
                <w:szCs w:val="16"/>
              </w:rPr>
            </w:pPr>
            <w:r w:rsidRPr="00C06A59">
              <w:rPr>
                <w:sz w:val="16"/>
                <w:szCs w:val="16"/>
              </w:rPr>
              <w:t>Over fiv</w:t>
            </w:r>
            <w:r w:rsidR="00D813CA">
              <w:rPr>
                <w:sz w:val="16"/>
                <w:szCs w:val="16"/>
              </w:rPr>
              <w:t xml:space="preserve">e years (2010-2016) there was </w:t>
            </w:r>
            <w:r w:rsidRPr="00C06A59">
              <w:rPr>
                <w:sz w:val="16"/>
                <w:szCs w:val="16"/>
              </w:rPr>
              <w:t xml:space="preserve">around a 25% reduction in breakfast cereals largely due to large reductions being made in rice bubble, cornflake and other children’s styled cereals. Our research looking at changes in the sodium content of breakfast cereals over a 10-year period (2003 – 2013) indicated that some children’s cereals had on average a </w:t>
            </w:r>
            <w:r w:rsidR="00FB5819">
              <w:rPr>
                <w:sz w:val="16"/>
                <w:szCs w:val="16"/>
              </w:rPr>
              <w:t>33% reduction in sodium levels.</w:t>
            </w:r>
          </w:p>
          <w:p w14:paraId="0BE0D893" w14:textId="6E2AC556" w:rsidR="00C06A59" w:rsidRPr="00C06A59" w:rsidRDefault="00C06A59" w:rsidP="00DE5FE6">
            <w:pPr>
              <w:rPr>
                <w:sz w:val="16"/>
                <w:szCs w:val="16"/>
              </w:rPr>
            </w:pPr>
            <w:r w:rsidRPr="00C06A59">
              <w:rPr>
                <w:sz w:val="16"/>
                <w:szCs w:val="16"/>
              </w:rPr>
              <w:t>From 2010 – 2016 an estimated 27 tonnes of salt per annu</w:t>
            </w:r>
            <w:r w:rsidR="00FB5819">
              <w:rPr>
                <w:sz w:val="16"/>
                <w:szCs w:val="16"/>
              </w:rPr>
              <w:t xml:space="preserve">m removed across the category. </w:t>
            </w:r>
          </w:p>
          <w:p w14:paraId="7F3AD210" w14:textId="7134B4C9" w:rsidR="00C06A59" w:rsidRPr="00C06A59" w:rsidRDefault="00C06A59" w:rsidP="00DE5FE6">
            <w:pPr>
              <w:rPr>
                <w:sz w:val="16"/>
                <w:szCs w:val="16"/>
              </w:rPr>
            </w:pPr>
            <w:r w:rsidRPr="00C06A59">
              <w:rPr>
                <w:sz w:val="16"/>
                <w:szCs w:val="16"/>
              </w:rPr>
              <w:t>Aug 2016: Sodium targ</w:t>
            </w:r>
            <w:r w:rsidR="00715AEB">
              <w:rPr>
                <w:sz w:val="16"/>
                <w:szCs w:val="16"/>
              </w:rPr>
              <w:t xml:space="preserve">ets reset and sugar target set. </w:t>
            </w:r>
            <w:r w:rsidRPr="00C06A59">
              <w:rPr>
                <w:sz w:val="16"/>
                <w:szCs w:val="16"/>
              </w:rPr>
              <w:t>Interim highlight (since target reset 2016): 12 cereals by 2 companies have had a 16-</w:t>
            </w:r>
            <w:r w:rsidR="00FB5819">
              <w:rPr>
                <w:sz w:val="16"/>
                <w:szCs w:val="16"/>
              </w:rPr>
              <w:t>35% reduction in sugar content.</w:t>
            </w:r>
          </w:p>
        </w:tc>
      </w:tr>
      <w:tr w:rsidR="00C06A59" w:rsidRPr="00C06A59" w14:paraId="7892BE3C" w14:textId="77777777" w:rsidTr="00DE5FE6">
        <w:tc>
          <w:tcPr>
            <w:tcW w:w="1978" w:type="dxa"/>
          </w:tcPr>
          <w:p w14:paraId="50FFB97F" w14:textId="0C602488" w:rsidR="00C06A59" w:rsidRPr="00C06A59" w:rsidRDefault="00FB5819" w:rsidP="00715AEB">
            <w:pPr>
              <w:rPr>
                <w:b/>
                <w:sz w:val="18"/>
                <w:szCs w:val="18"/>
              </w:rPr>
            </w:pPr>
            <w:r>
              <w:rPr>
                <w:b/>
                <w:sz w:val="18"/>
                <w:szCs w:val="18"/>
              </w:rPr>
              <w:t>Processed Meats</w:t>
            </w:r>
          </w:p>
        </w:tc>
        <w:tc>
          <w:tcPr>
            <w:tcW w:w="2127" w:type="dxa"/>
          </w:tcPr>
          <w:p w14:paraId="7573CD56" w14:textId="379C4E24" w:rsidR="00715AEB" w:rsidRPr="00C06A59" w:rsidRDefault="00C06A59" w:rsidP="00DE5FE6">
            <w:pPr>
              <w:rPr>
                <w:b/>
                <w:sz w:val="16"/>
                <w:szCs w:val="16"/>
              </w:rPr>
            </w:pPr>
            <w:r w:rsidRPr="00C06A59">
              <w:rPr>
                <w:b/>
                <w:sz w:val="16"/>
                <w:szCs w:val="16"/>
              </w:rPr>
              <w:t xml:space="preserve">Sodium </w:t>
            </w:r>
          </w:p>
          <w:p w14:paraId="0D3B74E1" w14:textId="77777777" w:rsidR="00715AEB" w:rsidRPr="00C06A59" w:rsidRDefault="00715AEB" w:rsidP="00715AEB">
            <w:pPr>
              <w:rPr>
                <w:b/>
                <w:bCs/>
                <w:sz w:val="16"/>
                <w:szCs w:val="16"/>
              </w:rPr>
            </w:pPr>
            <w:r w:rsidRPr="00C06A59">
              <w:rPr>
                <w:b/>
                <w:bCs/>
                <w:sz w:val="16"/>
                <w:szCs w:val="16"/>
              </w:rPr>
              <w:t>Sausages</w:t>
            </w:r>
          </w:p>
          <w:p w14:paraId="4AE16580" w14:textId="4959C49F" w:rsidR="00715AEB" w:rsidRDefault="00C06A59" w:rsidP="00DE5FE6">
            <w:pPr>
              <w:rPr>
                <w:sz w:val="16"/>
                <w:szCs w:val="16"/>
              </w:rPr>
            </w:pPr>
            <w:r w:rsidRPr="00C06A59">
              <w:rPr>
                <w:sz w:val="16"/>
                <w:szCs w:val="16"/>
              </w:rPr>
              <w:t>650mg/100g</w:t>
            </w:r>
          </w:p>
          <w:p w14:paraId="66F9B945" w14:textId="1EA3F5DA" w:rsidR="00715AEB" w:rsidRPr="00C06A59" w:rsidRDefault="00715AEB" w:rsidP="00DE5FE6">
            <w:pPr>
              <w:rPr>
                <w:sz w:val="16"/>
                <w:szCs w:val="16"/>
              </w:rPr>
            </w:pPr>
            <w:r w:rsidRPr="00C06A59">
              <w:rPr>
                <w:b/>
                <w:bCs/>
                <w:sz w:val="16"/>
                <w:szCs w:val="16"/>
              </w:rPr>
              <w:t>Bacon</w:t>
            </w:r>
          </w:p>
          <w:p w14:paraId="6D711EA7" w14:textId="04C8BEE5" w:rsidR="00715AEB" w:rsidRDefault="00FB5819" w:rsidP="00DE5FE6">
            <w:pPr>
              <w:rPr>
                <w:sz w:val="16"/>
                <w:szCs w:val="16"/>
              </w:rPr>
            </w:pPr>
            <w:r>
              <w:rPr>
                <w:sz w:val="16"/>
                <w:szCs w:val="16"/>
              </w:rPr>
              <w:t>1090mg/100g</w:t>
            </w:r>
          </w:p>
          <w:p w14:paraId="05A994EE" w14:textId="7A309A75" w:rsidR="00715AEB" w:rsidRPr="00715AEB" w:rsidRDefault="00715AEB" w:rsidP="00DE5FE6">
            <w:pPr>
              <w:rPr>
                <w:b/>
                <w:bCs/>
                <w:sz w:val="16"/>
                <w:szCs w:val="16"/>
              </w:rPr>
            </w:pPr>
            <w:r>
              <w:rPr>
                <w:b/>
                <w:bCs/>
                <w:sz w:val="16"/>
                <w:szCs w:val="16"/>
              </w:rPr>
              <w:t>Ham</w:t>
            </w:r>
          </w:p>
          <w:p w14:paraId="36B4CB34" w14:textId="4704291A" w:rsidR="00C06A59" w:rsidRPr="00C06A59" w:rsidRDefault="00C06A59" w:rsidP="00DE5FE6">
            <w:pPr>
              <w:rPr>
                <w:sz w:val="16"/>
                <w:szCs w:val="16"/>
              </w:rPr>
            </w:pPr>
            <w:r w:rsidRPr="00C06A59">
              <w:rPr>
                <w:sz w:val="16"/>
                <w:szCs w:val="16"/>
              </w:rPr>
              <w:t>1090mg/100g</w:t>
            </w:r>
          </w:p>
        </w:tc>
        <w:tc>
          <w:tcPr>
            <w:tcW w:w="1986" w:type="dxa"/>
          </w:tcPr>
          <w:p w14:paraId="50E45232" w14:textId="77777777" w:rsidR="00C06A59" w:rsidRPr="00C06A59" w:rsidRDefault="00C06A59" w:rsidP="00DE5FE6">
            <w:pPr>
              <w:rPr>
                <w:sz w:val="16"/>
                <w:szCs w:val="16"/>
              </w:rPr>
            </w:pPr>
            <w:r w:rsidRPr="00C06A59">
              <w:rPr>
                <w:sz w:val="16"/>
                <w:szCs w:val="16"/>
              </w:rPr>
              <w:t xml:space="preserve">Targets reset Dec </w:t>
            </w:r>
            <w:proofErr w:type="gramStart"/>
            <w:r w:rsidRPr="00C06A59">
              <w:rPr>
                <w:sz w:val="16"/>
                <w:szCs w:val="16"/>
              </w:rPr>
              <w:t>2015;</w:t>
            </w:r>
            <w:proofErr w:type="gramEnd"/>
          </w:p>
          <w:p w14:paraId="62322CDE" w14:textId="77777777" w:rsidR="00C06A59" w:rsidRPr="00C06A59" w:rsidRDefault="00C06A59" w:rsidP="00DE5FE6">
            <w:pPr>
              <w:rPr>
                <w:sz w:val="16"/>
                <w:szCs w:val="16"/>
              </w:rPr>
            </w:pPr>
            <w:r w:rsidRPr="00C06A59">
              <w:rPr>
                <w:sz w:val="16"/>
                <w:szCs w:val="16"/>
              </w:rPr>
              <w:t>Target review Dec 2020</w:t>
            </w:r>
          </w:p>
        </w:tc>
        <w:tc>
          <w:tcPr>
            <w:tcW w:w="2925" w:type="dxa"/>
          </w:tcPr>
          <w:p w14:paraId="4BECF6CE" w14:textId="14A639C1" w:rsidR="00C06A59" w:rsidRPr="00C06A59" w:rsidRDefault="00FB5819" w:rsidP="00DE5FE6">
            <w:pPr>
              <w:rPr>
                <w:sz w:val="16"/>
                <w:szCs w:val="16"/>
              </w:rPr>
            </w:pPr>
            <w:r>
              <w:rPr>
                <w:sz w:val="16"/>
                <w:szCs w:val="16"/>
              </w:rPr>
              <w:t>2011: Targets set</w:t>
            </w:r>
          </w:p>
          <w:p w14:paraId="10AA7506" w14:textId="5A8C6D03" w:rsidR="00C06A59" w:rsidRPr="00C06A59" w:rsidRDefault="00C06A59" w:rsidP="00DE5FE6">
            <w:pPr>
              <w:rPr>
                <w:sz w:val="16"/>
                <w:szCs w:val="16"/>
              </w:rPr>
            </w:pPr>
            <w:r w:rsidRPr="00C06A59">
              <w:rPr>
                <w:sz w:val="16"/>
                <w:szCs w:val="16"/>
              </w:rPr>
              <w:t>2015 review: over 80% market share of sausages</w:t>
            </w:r>
            <w:r w:rsidR="004B0842">
              <w:rPr>
                <w:sz w:val="16"/>
                <w:szCs w:val="16"/>
              </w:rPr>
              <w:t xml:space="preserve"> met 800mg/100g (2011 target).</w:t>
            </w:r>
          </w:p>
          <w:p w14:paraId="2B9F00BE" w14:textId="6F8759B6" w:rsidR="00C06A59" w:rsidRPr="00C06A59" w:rsidRDefault="00C06A59" w:rsidP="00DE5FE6">
            <w:pPr>
              <w:rPr>
                <w:sz w:val="16"/>
                <w:szCs w:val="16"/>
              </w:rPr>
            </w:pPr>
            <w:r w:rsidRPr="00C06A59">
              <w:rPr>
                <w:sz w:val="16"/>
                <w:szCs w:val="16"/>
              </w:rPr>
              <w:t>Over 1 year (2015-2016) two manufacturers, reduced the average sodium levels by 12% across 30 products. This is equivalent to over 13 ton</w:t>
            </w:r>
            <w:r w:rsidR="004B0842">
              <w:rPr>
                <w:sz w:val="16"/>
                <w:szCs w:val="16"/>
              </w:rPr>
              <w:t>nes of salt per annum removed.</w:t>
            </w:r>
          </w:p>
          <w:p w14:paraId="3A3FE77B" w14:textId="628BFBFE" w:rsidR="00C06A59" w:rsidRPr="00C06A59" w:rsidRDefault="00C06A59" w:rsidP="00DE5FE6">
            <w:pPr>
              <w:rPr>
                <w:sz w:val="16"/>
                <w:szCs w:val="16"/>
              </w:rPr>
            </w:pPr>
            <w:r w:rsidRPr="00C06A59">
              <w:rPr>
                <w:sz w:val="16"/>
                <w:szCs w:val="16"/>
              </w:rPr>
              <w:t xml:space="preserve">Over 50 tonnes of salt per annum removed </w:t>
            </w:r>
            <w:r w:rsidR="00FB5819">
              <w:rPr>
                <w:sz w:val="16"/>
                <w:szCs w:val="16"/>
              </w:rPr>
              <w:t>from this category (2011-2016).</w:t>
            </w:r>
          </w:p>
          <w:p w14:paraId="5BC03A8B" w14:textId="6D458632" w:rsidR="00C06A59" w:rsidRPr="00C06A59" w:rsidRDefault="00C06A59" w:rsidP="00DE5FE6">
            <w:pPr>
              <w:rPr>
                <w:sz w:val="16"/>
                <w:szCs w:val="16"/>
              </w:rPr>
            </w:pPr>
            <w:r w:rsidRPr="00C06A59">
              <w:rPr>
                <w:sz w:val="16"/>
                <w:szCs w:val="16"/>
              </w:rPr>
              <w:lastRenderedPageBreak/>
              <w:t>Interim highlights (since 2015): one major company achieved 100% compliance in bacon products (n=7); another major company achieved between 19-22%</w:t>
            </w:r>
            <w:r w:rsidR="00FB5819">
              <w:rPr>
                <w:sz w:val="16"/>
                <w:szCs w:val="16"/>
              </w:rPr>
              <w:t xml:space="preserve"> sodium reductions in sausages.</w:t>
            </w:r>
          </w:p>
        </w:tc>
      </w:tr>
      <w:tr w:rsidR="00C06A59" w:rsidRPr="00C06A59" w14:paraId="6115312B" w14:textId="77777777" w:rsidTr="00DE5FE6">
        <w:tc>
          <w:tcPr>
            <w:tcW w:w="1978" w:type="dxa"/>
          </w:tcPr>
          <w:p w14:paraId="16A52ED7" w14:textId="64C1311E" w:rsidR="00C06A59" w:rsidRPr="00FB5819" w:rsidRDefault="00852384" w:rsidP="00DE5FE6">
            <w:pPr>
              <w:rPr>
                <w:b/>
                <w:sz w:val="18"/>
                <w:szCs w:val="18"/>
              </w:rPr>
            </w:pPr>
            <w:r>
              <w:rPr>
                <w:b/>
                <w:sz w:val="18"/>
                <w:szCs w:val="18"/>
              </w:rPr>
              <w:lastRenderedPageBreak/>
              <w:t>Savoury Pies</w:t>
            </w:r>
          </w:p>
        </w:tc>
        <w:tc>
          <w:tcPr>
            <w:tcW w:w="2127" w:type="dxa"/>
          </w:tcPr>
          <w:p w14:paraId="0F06EFBE" w14:textId="77777777" w:rsidR="00715AEB" w:rsidRPr="00C06A59" w:rsidRDefault="00715AEB" w:rsidP="00715AEB">
            <w:pPr>
              <w:rPr>
                <w:b/>
                <w:bCs/>
                <w:sz w:val="16"/>
                <w:szCs w:val="16"/>
              </w:rPr>
            </w:pPr>
            <w:r w:rsidRPr="00C06A59">
              <w:rPr>
                <w:b/>
                <w:bCs/>
                <w:sz w:val="16"/>
                <w:szCs w:val="16"/>
              </w:rPr>
              <w:t>Mince/Steak</w:t>
            </w:r>
          </w:p>
          <w:p w14:paraId="5A02BAE8" w14:textId="47575D4B" w:rsidR="00C06A59" w:rsidRPr="00C06A59" w:rsidRDefault="00C06A59" w:rsidP="00DE5FE6">
            <w:pPr>
              <w:rPr>
                <w:b/>
                <w:sz w:val="16"/>
                <w:szCs w:val="16"/>
              </w:rPr>
            </w:pPr>
            <w:r w:rsidRPr="00C06A59">
              <w:rPr>
                <w:b/>
                <w:sz w:val="16"/>
                <w:szCs w:val="16"/>
              </w:rPr>
              <w:t xml:space="preserve">Sodium </w:t>
            </w:r>
          </w:p>
          <w:p w14:paraId="35C93717" w14:textId="77777777" w:rsidR="00C06A59" w:rsidRPr="00C06A59" w:rsidRDefault="00C06A59" w:rsidP="00DE5FE6">
            <w:pPr>
              <w:rPr>
                <w:sz w:val="16"/>
                <w:szCs w:val="16"/>
              </w:rPr>
            </w:pPr>
            <w:r w:rsidRPr="00C06A59">
              <w:rPr>
                <w:sz w:val="16"/>
                <w:szCs w:val="16"/>
              </w:rPr>
              <w:t>400mg/100g</w:t>
            </w:r>
          </w:p>
          <w:p w14:paraId="03533AE9" w14:textId="77777777" w:rsidR="00C06A59" w:rsidRPr="00C06A59" w:rsidRDefault="00C06A59" w:rsidP="00DE5FE6">
            <w:pPr>
              <w:rPr>
                <w:b/>
                <w:sz w:val="16"/>
                <w:szCs w:val="16"/>
              </w:rPr>
            </w:pPr>
            <w:r w:rsidRPr="00C06A59">
              <w:rPr>
                <w:b/>
                <w:sz w:val="16"/>
                <w:szCs w:val="16"/>
              </w:rPr>
              <w:t xml:space="preserve">Saturated fat </w:t>
            </w:r>
          </w:p>
          <w:p w14:paraId="631281C1" w14:textId="19189928" w:rsidR="00715AEB" w:rsidRPr="00FB5819" w:rsidRDefault="00FB5819" w:rsidP="00DE5FE6">
            <w:pPr>
              <w:rPr>
                <w:sz w:val="16"/>
                <w:szCs w:val="16"/>
              </w:rPr>
            </w:pPr>
            <w:r>
              <w:rPr>
                <w:sz w:val="16"/>
                <w:szCs w:val="16"/>
              </w:rPr>
              <w:t>5g/100g</w:t>
            </w:r>
          </w:p>
          <w:p w14:paraId="60F98710" w14:textId="14A6EE59" w:rsidR="00C06A59" w:rsidRPr="00C06A59" w:rsidRDefault="00715AEB" w:rsidP="00DE5FE6">
            <w:pPr>
              <w:rPr>
                <w:b/>
                <w:sz w:val="16"/>
                <w:szCs w:val="16"/>
              </w:rPr>
            </w:pPr>
            <w:r w:rsidRPr="00C06A59">
              <w:rPr>
                <w:b/>
                <w:bCs/>
                <w:sz w:val="16"/>
                <w:szCs w:val="16"/>
              </w:rPr>
              <w:t>Mince &amp; cheese/steak &amp; cheese</w:t>
            </w:r>
          </w:p>
          <w:p w14:paraId="5FBF6553" w14:textId="77777777" w:rsidR="00C06A59" w:rsidRPr="00C06A59" w:rsidRDefault="00C06A59" w:rsidP="00DE5FE6">
            <w:pPr>
              <w:rPr>
                <w:b/>
                <w:sz w:val="16"/>
                <w:szCs w:val="16"/>
              </w:rPr>
            </w:pPr>
            <w:r w:rsidRPr="00C06A59">
              <w:rPr>
                <w:b/>
                <w:sz w:val="16"/>
                <w:szCs w:val="16"/>
              </w:rPr>
              <w:t xml:space="preserve">Sodium </w:t>
            </w:r>
          </w:p>
          <w:p w14:paraId="4C9F0C4D" w14:textId="77777777" w:rsidR="00C06A59" w:rsidRPr="00C06A59" w:rsidRDefault="00C06A59" w:rsidP="00DE5FE6">
            <w:pPr>
              <w:rPr>
                <w:sz w:val="16"/>
                <w:szCs w:val="16"/>
              </w:rPr>
            </w:pPr>
            <w:r w:rsidRPr="00C06A59">
              <w:rPr>
                <w:sz w:val="16"/>
                <w:szCs w:val="16"/>
              </w:rPr>
              <w:t>400mg/100g</w:t>
            </w:r>
          </w:p>
          <w:p w14:paraId="0CA7B613" w14:textId="77777777" w:rsidR="00C06A59" w:rsidRPr="00C06A59" w:rsidRDefault="00C06A59" w:rsidP="00DE5FE6">
            <w:pPr>
              <w:rPr>
                <w:b/>
                <w:sz w:val="16"/>
                <w:szCs w:val="16"/>
              </w:rPr>
            </w:pPr>
            <w:r w:rsidRPr="00C06A59">
              <w:rPr>
                <w:b/>
                <w:sz w:val="16"/>
                <w:szCs w:val="16"/>
              </w:rPr>
              <w:t xml:space="preserve">Saturated fat </w:t>
            </w:r>
          </w:p>
          <w:p w14:paraId="4A94F166" w14:textId="0C0F7779" w:rsidR="00C06A59" w:rsidRPr="00C06A59" w:rsidRDefault="0055657C" w:rsidP="00DE5FE6">
            <w:pPr>
              <w:rPr>
                <w:sz w:val="16"/>
                <w:szCs w:val="16"/>
              </w:rPr>
            </w:pPr>
            <w:r>
              <w:rPr>
                <w:sz w:val="16"/>
                <w:szCs w:val="16"/>
              </w:rPr>
              <w:t>7g/100g</w:t>
            </w:r>
          </w:p>
        </w:tc>
        <w:tc>
          <w:tcPr>
            <w:tcW w:w="1986" w:type="dxa"/>
          </w:tcPr>
          <w:p w14:paraId="4EFDC04D" w14:textId="77777777" w:rsidR="00C06A59" w:rsidRPr="00C06A59" w:rsidRDefault="00C06A59" w:rsidP="00DE5FE6">
            <w:pPr>
              <w:rPr>
                <w:sz w:val="16"/>
                <w:szCs w:val="16"/>
                <w:highlight w:val="yellow"/>
              </w:rPr>
            </w:pPr>
            <w:r w:rsidRPr="00C06A59">
              <w:rPr>
                <w:sz w:val="16"/>
                <w:szCs w:val="16"/>
              </w:rPr>
              <w:t xml:space="preserve">Targets set </w:t>
            </w:r>
            <w:proofErr w:type="gramStart"/>
            <w:r w:rsidRPr="00C06A59">
              <w:rPr>
                <w:sz w:val="16"/>
                <w:szCs w:val="16"/>
              </w:rPr>
              <w:t>2012;</w:t>
            </w:r>
            <w:proofErr w:type="gramEnd"/>
          </w:p>
          <w:p w14:paraId="6D853484" w14:textId="2E4FAA63" w:rsidR="00C06A59" w:rsidRPr="00C06A59" w:rsidRDefault="00C06A59" w:rsidP="00852384">
            <w:pPr>
              <w:rPr>
                <w:sz w:val="16"/>
                <w:szCs w:val="16"/>
              </w:rPr>
            </w:pPr>
            <w:r w:rsidRPr="00C06A59">
              <w:rPr>
                <w:sz w:val="16"/>
                <w:szCs w:val="16"/>
              </w:rPr>
              <w:t>Review</w:t>
            </w:r>
            <w:r w:rsidR="00FB5819">
              <w:rPr>
                <w:sz w:val="16"/>
                <w:szCs w:val="16"/>
              </w:rPr>
              <w:t xml:space="preserve"> to be confirmed</w:t>
            </w:r>
          </w:p>
        </w:tc>
        <w:tc>
          <w:tcPr>
            <w:tcW w:w="2925" w:type="dxa"/>
          </w:tcPr>
          <w:p w14:paraId="73F03459" w14:textId="08D38DB3" w:rsidR="00C06A59" w:rsidRPr="00C06A59" w:rsidRDefault="00C06A59" w:rsidP="00FB5819">
            <w:pPr>
              <w:rPr>
                <w:sz w:val="16"/>
                <w:szCs w:val="16"/>
              </w:rPr>
            </w:pPr>
            <w:r w:rsidRPr="00C06A59">
              <w:rPr>
                <w:sz w:val="16"/>
                <w:szCs w:val="16"/>
              </w:rPr>
              <w:t>Over 10 tonnes of salt per annum removed from this c</w:t>
            </w:r>
            <w:r w:rsidR="004B0842">
              <w:rPr>
                <w:sz w:val="16"/>
                <w:szCs w:val="16"/>
              </w:rPr>
              <w:t>ategory since target set 2012.</w:t>
            </w:r>
          </w:p>
        </w:tc>
      </w:tr>
      <w:tr w:rsidR="00C06A59" w:rsidRPr="00C06A59" w14:paraId="61458FBC" w14:textId="77777777" w:rsidTr="00DE5FE6">
        <w:tc>
          <w:tcPr>
            <w:tcW w:w="1978" w:type="dxa"/>
            <w:shd w:val="clear" w:color="auto" w:fill="auto"/>
          </w:tcPr>
          <w:p w14:paraId="3C91B2D9" w14:textId="33C54FB1" w:rsidR="00C06A59" w:rsidRPr="00FB5819" w:rsidRDefault="00FB5819" w:rsidP="00DE5FE6">
            <w:pPr>
              <w:rPr>
                <w:b/>
                <w:sz w:val="18"/>
                <w:szCs w:val="18"/>
              </w:rPr>
            </w:pPr>
            <w:r>
              <w:rPr>
                <w:b/>
                <w:sz w:val="18"/>
                <w:szCs w:val="18"/>
              </w:rPr>
              <w:t>Soups</w:t>
            </w:r>
          </w:p>
        </w:tc>
        <w:tc>
          <w:tcPr>
            <w:tcW w:w="2127" w:type="dxa"/>
            <w:shd w:val="clear" w:color="auto" w:fill="auto"/>
          </w:tcPr>
          <w:p w14:paraId="5C03A041" w14:textId="3C3F28E1" w:rsidR="00AA76DD" w:rsidRPr="00FB5819" w:rsidRDefault="00FB5819" w:rsidP="00DE5FE6">
            <w:pPr>
              <w:rPr>
                <w:b/>
                <w:sz w:val="16"/>
                <w:szCs w:val="16"/>
              </w:rPr>
            </w:pPr>
            <w:r>
              <w:rPr>
                <w:b/>
                <w:sz w:val="16"/>
                <w:szCs w:val="16"/>
              </w:rPr>
              <w:t xml:space="preserve">Sodium </w:t>
            </w:r>
          </w:p>
          <w:p w14:paraId="4F1C92A4" w14:textId="1EEF43AA" w:rsidR="00AA76DD" w:rsidRDefault="00AA76DD" w:rsidP="00DE5FE6">
            <w:pPr>
              <w:rPr>
                <w:b/>
                <w:sz w:val="16"/>
                <w:szCs w:val="16"/>
              </w:rPr>
            </w:pPr>
            <w:r w:rsidRPr="00C06A59">
              <w:rPr>
                <w:b/>
                <w:bCs/>
                <w:sz w:val="16"/>
                <w:szCs w:val="16"/>
              </w:rPr>
              <w:t>All soups</w:t>
            </w:r>
            <w:r w:rsidRPr="00C06A59">
              <w:rPr>
                <w:b/>
                <w:sz w:val="16"/>
                <w:szCs w:val="16"/>
              </w:rPr>
              <w:t xml:space="preserve"> </w:t>
            </w:r>
          </w:p>
          <w:p w14:paraId="1A70C546" w14:textId="7D5E8278" w:rsidR="00C06A59" w:rsidRPr="00C06A59" w:rsidRDefault="00C06A59" w:rsidP="00DE5FE6">
            <w:pPr>
              <w:rPr>
                <w:sz w:val="16"/>
                <w:szCs w:val="16"/>
              </w:rPr>
            </w:pPr>
            <w:r w:rsidRPr="00C06A59">
              <w:rPr>
                <w:sz w:val="16"/>
                <w:szCs w:val="16"/>
              </w:rPr>
              <w:t>280mg/100g OR 20% reduction for products</w:t>
            </w:r>
            <w:r w:rsidR="00FB5819">
              <w:rPr>
                <w:sz w:val="16"/>
                <w:szCs w:val="16"/>
              </w:rPr>
              <w:t xml:space="preserve"> significantly over 280mg/100g.</w:t>
            </w:r>
          </w:p>
        </w:tc>
        <w:tc>
          <w:tcPr>
            <w:tcW w:w="1986" w:type="dxa"/>
            <w:shd w:val="clear" w:color="auto" w:fill="auto"/>
          </w:tcPr>
          <w:p w14:paraId="734CC221" w14:textId="77777777" w:rsidR="00C06A59" w:rsidRPr="00C06A59" w:rsidRDefault="00C06A59" w:rsidP="00DE5FE6">
            <w:pPr>
              <w:rPr>
                <w:sz w:val="16"/>
                <w:szCs w:val="16"/>
              </w:rPr>
            </w:pPr>
            <w:r w:rsidRPr="00C06A59">
              <w:rPr>
                <w:sz w:val="16"/>
                <w:szCs w:val="16"/>
              </w:rPr>
              <w:t xml:space="preserve">Target reset Aug </w:t>
            </w:r>
            <w:proofErr w:type="gramStart"/>
            <w:r w:rsidRPr="00C06A59">
              <w:rPr>
                <w:sz w:val="16"/>
                <w:szCs w:val="16"/>
              </w:rPr>
              <w:t>2017;</w:t>
            </w:r>
            <w:proofErr w:type="gramEnd"/>
            <w:r w:rsidRPr="00C06A59">
              <w:rPr>
                <w:sz w:val="16"/>
                <w:szCs w:val="16"/>
              </w:rPr>
              <w:t xml:space="preserve"> </w:t>
            </w:r>
          </w:p>
          <w:p w14:paraId="62C05290" w14:textId="77777777" w:rsidR="00C06A59" w:rsidRPr="00C06A59" w:rsidRDefault="00C06A59" w:rsidP="00DE5FE6">
            <w:pPr>
              <w:rPr>
                <w:sz w:val="16"/>
                <w:szCs w:val="16"/>
              </w:rPr>
            </w:pPr>
            <w:r w:rsidRPr="00C06A59">
              <w:rPr>
                <w:sz w:val="16"/>
                <w:szCs w:val="16"/>
              </w:rPr>
              <w:t>Target review Aug 2022.</w:t>
            </w:r>
          </w:p>
        </w:tc>
        <w:tc>
          <w:tcPr>
            <w:tcW w:w="2925" w:type="dxa"/>
            <w:shd w:val="clear" w:color="auto" w:fill="auto"/>
          </w:tcPr>
          <w:p w14:paraId="4A4A159C" w14:textId="459968EE" w:rsidR="00C06A59" w:rsidRPr="00C06A59" w:rsidRDefault="00C06A59" w:rsidP="00DE5FE6">
            <w:pPr>
              <w:rPr>
                <w:sz w:val="16"/>
                <w:szCs w:val="16"/>
              </w:rPr>
            </w:pPr>
            <w:r w:rsidRPr="00C06A59">
              <w:rPr>
                <w:sz w:val="16"/>
                <w:szCs w:val="16"/>
              </w:rPr>
              <w:t xml:space="preserve">2016 review: 11% sodium reduction </w:t>
            </w:r>
            <w:r w:rsidR="004B0842">
              <w:rPr>
                <w:sz w:val="16"/>
                <w:szCs w:val="16"/>
              </w:rPr>
              <w:t xml:space="preserve">in matched reformulated pairs. </w:t>
            </w:r>
            <w:r w:rsidRPr="00C06A59">
              <w:rPr>
                <w:sz w:val="16"/>
                <w:szCs w:val="16"/>
              </w:rPr>
              <w:t>2.4 t</w:t>
            </w:r>
            <w:r w:rsidR="00FB5819">
              <w:rPr>
                <w:sz w:val="16"/>
                <w:szCs w:val="16"/>
              </w:rPr>
              <w:t>onnes salt removed (2014-2016).</w:t>
            </w:r>
          </w:p>
          <w:p w14:paraId="0A00F1B6" w14:textId="3F549CB5" w:rsidR="00C06A59" w:rsidRPr="00C06A59" w:rsidRDefault="00C06A59" w:rsidP="00DE5FE6">
            <w:pPr>
              <w:rPr>
                <w:sz w:val="16"/>
                <w:szCs w:val="16"/>
              </w:rPr>
            </w:pPr>
            <w:r w:rsidRPr="00C06A59">
              <w:rPr>
                <w:sz w:val="16"/>
                <w:szCs w:val="16"/>
              </w:rPr>
              <w:t>Interim highlight – one company reformulated 11 products, achieving median 5.9% sodium reduction; anot</w:t>
            </w:r>
            <w:r w:rsidR="0055657C">
              <w:rPr>
                <w:sz w:val="16"/>
                <w:szCs w:val="16"/>
              </w:rPr>
              <w:t>her company has 100% compliance</w:t>
            </w:r>
          </w:p>
        </w:tc>
      </w:tr>
      <w:tr w:rsidR="00C06A59" w:rsidRPr="00C06A59" w14:paraId="4D89CC24" w14:textId="77777777" w:rsidTr="00DE5FE6">
        <w:tc>
          <w:tcPr>
            <w:tcW w:w="1978" w:type="dxa"/>
          </w:tcPr>
          <w:p w14:paraId="0AE4FBF6" w14:textId="717A406C" w:rsidR="00C06A59" w:rsidRPr="00C06A59" w:rsidRDefault="00FB5819" w:rsidP="00DE5FE6">
            <w:pPr>
              <w:rPr>
                <w:b/>
                <w:sz w:val="18"/>
                <w:szCs w:val="18"/>
              </w:rPr>
            </w:pPr>
            <w:r>
              <w:rPr>
                <w:b/>
                <w:sz w:val="18"/>
                <w:szCs w:val="18"/>
              </w:rPr>
              <w:t>Cheese</w:t>
            </w:r>
          </w:p>
        </w:tc>
        <w:tc>
          <w:tcPr>
            <w:tcW w:w="2127" w:type="dxa"/>
          </w:tcPr>
          <w:p w14:paraId="0DA2D20E" w14:textId="77777777" w:rsidR="00C06A59" w:rsidRPr="00C06A59" w:rsidRDefault="00C06A59" w:rsidP="00DE5FE6">
            <w:pPr>
              <w:rPr>
                <w:sz w:val="16"/>
                <w:szCs w:val="16"/>
              </w:rPr>
            </w:pPr>
            <w:r w:rsidRPr="00C06A59">
              <w:rPr>
                <w:b/>
                <w:sz w:val="16"/>
                <w:szCs w:val="16"/>
              </w:rPr>
              <w:t xml:space="preserve">Sodium </w:t>
            </w:r>
          </w:p>
          <w:p w14:paraId="0788A6DB" w14:textId="77777777" w:rsidR="00AA76DD" w:rsidRPr="00C06A59" w:rsidRDefault="00AA76DD" w:rsidP="00AA76DD">
            <w:pPr>
              <w:rPr>
                <w:b/>
                <w:bCs/>
                <w:sz w:val="16"/>
                <w:szCs w:val="16"/>
              </w:rPr>
            </w:pPr>
            <w:r w:rsidRPr="00C06A59">
              <w:rPr>
                <w:b/>
                <w:bCs/>
                <w:sz w:val="16"/>
                <w:szCs w:val="16"/>
              </w:rPr>
              <w:t xml:space="preserve">Cheddar and cheddar-style </w:t>
            </w:r>
          </w:p>
          <w:p w14:paraId="2B0781D1" w14:textId="38F651EC" w:rsidR="00AA76DD" w:rsidRDefault="00C06A59" w:rsidP="00DE5FE6">
            <w:pPr>
              <w:rPr>
                <w:sz w:val="16"/>
                <w:szCs w:val="16"/>
              </w:rPr>
            </w:pPr>
            <w:r w:rsidRPr="00C06A59">
              <w:rPr>
                <w:sz w:val="16"/>
                <w:szCs w:val="16"/>
              </w:rPr>
              <w:t>710mg/100g</w:t>
            </w:r>
          </w:p>
          <w:p w14:paraId="4603FC65" w14:textId="4EDE7429" w:rsidR="00AA76DD" w:rsidRPr="00AA76DD" w:rsidRDefault="00AA76DD" w:rsidP="00DE5FE6">
            <w:pPr>
              <w:rPr>
                <w:b/>
                <w:bCs/>
                <w:sz w:val="16"/>
                <w:szCs w:val="16"/>
              </w:rPr>
            </w:pPr>
            <w:r>
              <w:rPr>
                <w:b/>
                <w:bCs/>
                <w:sz w:val="16"/>
                <w:szCs w:val="16"/>
              </w:rPr>
              <w:t>Mozzarella cheese</w:t>
            </w:r>
          </w:p>
          <w:p w14:paraId="433834B3" w14:textId="1FEA9B8A" w:rsidR="00AA76DD" w:rsidRPr="00FB5819" w:rsidRDefault="00C06A59" w:rsidP="00DE5FE6">
            <w:pPr>
              <w:rPr>
                <w:sz w:val="16"/>
                <w:szCs w:val="16"/>
              </w:rPr>
            </w:pPr>
            <w:r w:rsidRPr="00C06A59">
              <w:rPr>
                <w:sz w:val="16"/>
                <w:szCs w:val="16"/>
              </w:rPr>
              <w:t>550mg/100g</w:t>
            </w:r>
          </w:p>
          <w:p w14:paraId="621C087E" w14:textId="52E5569A" w:rsidR="00AA76DD" w:rsidRPr="00C06A59" w:rsidRDefault="00AA76DD" w:rsidP="00DE5FE6">
            <w:pPr>
              <w:rPr>
                <w:sz w:val="16"/>
                <w:szCs w:val="16"/>
              </w:rPr>
            </w:pPr>
            <w:r w:rsidRPr="00C06A59">
              <w:rPr>
                <w:b/>
                <w:bCs/>
                <w:sz w:val="16"/>
                <w:szCs w:val="16"/>
              </w:rPr>
              <w:t>Processed cheese</w:t>
            </w:r>
          </w:p>
          <w:p w14:paraId="2F0F44B5" w14:textId="6DBFA3B6" w:rsidR="00C06A59" w:rsidRPr="00C06A59" w:rsidRDefault="00C06A59" w:rsidP="00DE5FE6">
            <w:pPr>
              <w:rPr>
                <w:sz w:val="16"/>
                <w:szCs w:val="16"/>
              </w:rPr>
            </w:pPr>
            <w:r w:rsidRPr="00C06A59">
              <w:rPr>
                <w:sz w:val="16"/>
                <w:szCs w:val="16"/>
              </w:rPr>
              <w:t xml:space="preserve">1270mg/100g OR 10-15% reduction in products </w:t>
            </w:r>
            <w:r w:rsidR="00FB5819">
              <w:rPr>
                <w:sz w:val="16"/>
                <w:szCs w:val="16"/>
              </w:rPr>
              <w:t>significantly above 1270mg/100g</w:t>
            </w:r>
          </w:p>
        </w:tc>
        <w:tc>
          <w:tcPr>
            <w:tcW w:w="1986" w:type="dxa"/>
          </w:tcPr>
          <w:p w14:paraId="77CBB23C" w14:textId="77777777" w:rsidR="00C06A59" w:rsidRPr="00C06A59" w:rsidRDefault="00C06A59" w:rsidP="00DE5FE6">
            <w:pPr>
              <w:rPr>
                <w:sz w:val="16"/>
                <w:szCs w:val="16"/>
              </w:rPr>
            </w:pPr>
            <w:r w:rsidRPr="00C06A59">
              <w:rPr>
                <w:sz w:val="16"/>
                <w:szCs w:val="16"/>
              </w:rPr>
              <w:t xml:space="preserve">Targets set </w:t>
            </w:r>
            <w:proofErr w:type="gramStart"/>
            <w:r w:rsidRPr="00C06A59">
              <w:rPr>
                <w:sz w:val="16"/>
                <w:szCs w:val="16"/>
              </w:rPr>
              <w:t>2014;</w:t>
            </w:r>
            <w:proofErr w:type="gramEnd"/>
            <w:r w:rsidRPr="00C06A59">
              <w:rPr>
                <w:sz w:val="16"/>
                <w:szCs w:val="16"/>
              </w:rPr>
              <w:t xml:space="preserve"> </w:t>
            </w:r>
          </w:p>
          <w:p w14:paraId="5C81A9DF" w14:textId="77777777" w:rsidR="00C06A59" w:rsidRPr="00C06A59" w:rsidRDefault="00C06A59" w:rsidP="00DE5FE6">
            <w:pPr>
              <w:rPr>
                <w:sz w:val="16"/>
                <w:szCs w:val="16"/>
              </w:rPr>
            </w:pPr>
            <w:r w:rsidRPr="00C06A59">
              <w:rPr>
                <w:sz w:val="16"/>
                <w:szCs w:val="16"/>
              </w:rPr>
              <w:t>Review to be confirmed</w:t>
            </w:r>
          </w:p>
        </w:tc>
        <w:tc>
          <w:tcPr>
            <w:tcW w:w="2925" w:type="dxa"/>
          </w:tcPr>
          <w:p w14:paraId="755EB670" w14:textId="77777777" w:rsidR="00C06A59" w:rsidRPr="00C06A59" w:rsidRDefault="00C06A59" w:rsidP="00DE5FE6">
            <w:pPr>
              <w:rPr>
                <w:sz w:val="16"/>
                <w:szCs w:val="16"/>
              </w:rPr>
            </w:pPr>
          </w:p>
        </w:tc>
      </w:tr>
      <w:tr w:rsidR="00C06A59" w:rsidRPr="00C06A59" w14:paraId="3807D990" w14:textId="77777777" w:rsidTr="00DE5FE6">
        <w:tc>
          <w:tcPr>
            <w:tcW w:w="1978" w:type="dxa"/>
            <w:shd w:val="clear" w:color="auto" w:fill="auto"/>
          </w:tcPr>
          <w:p w14:paraId="33C7F4C7" w14:textId="2E90D51A" w:rsidR="00C06A59" w:rsidRPr="0055657C" w:rsidRDefault="00C06A59" w:rsidP="00214A63">
            <w:pPr>
              <w:rPr>
                <w:b/>
                <w:sz w:val="18"/>
                <w:szCs w:val="18"/>
              </w:rPr>
            </w:pPr>
            <w:r w:rsidRPr="0055657C">
              <w:rPr>
                <w:b/>
                <w:sz w:val="18"/>
                <w:szCs w:val="18"/>
              </w:rPr>
              <w:t>Savoury Snacks</w:t>
            </w:r>
          </w:p>
        </w:tc>
        <w:tc>
          <w:tcPr>
            <w:tcW w:w="2127" w:type="dxa"/>
            <w:shd w:val="clear" w:color="auto" w:fill="auto"/>
          </w:tcPr>
          <w:p w14:paraId="620461A9" w14:textId="1A2FD866" w:rsidR="00296D66" w:rsidRPr="0055657C" w:rsidRDefault="00FB5819" w:rsidP="00DE5FE6">
            <w:pPr>
              <w:rPr>
                <w:b/>
                <w:sz w:val="16"/>
                <w:szCs w:val="16"/>
              </w:rPr>
            </w:pPr>
            <w:r>
              <w:rPr>
                <w:b/>
                <w:sz w:val="16"/>
                <w:szCs w:val="16"/>
              </w:rPr>
              <w:t xml:space="preserve">Sodium </w:t>
            </w:r>
          </w:p>
          <w:p w14:paraId="08EE9F47" w14:textId="0729C6DF" w:rsidR="00296D66" w:rsidRPr="0055657C" w:rsidRDefault="00296D66" w:rsidP="00DE5FE6">
            <w:pPr>
              <w:rPr>
                <w:b/>
                <w:bCs/>
                <w:sz w:val="16"/>
                <w:szCs w:val="16"/>
              </w:rPr>
            </w:pPr>
            <w:r w:rsidRPr="0055657C">
              <w:rPr>
                <w:b/>
                <w:bCs/>
                <w:sz w:val="16"/>
                <w:szCs w:val="16"/>
              </w:rPr>
              <w:t>Potato &amp; other vegetable crisps</w:t>
            </w:r>
          </w:p>
          <w:p w14:paraId="382A38BC" w14:textId="4D68DA41" w:rsidR="00296D66" w:rsidRPr="00FB5819" w:rsidRDefault="00C06A59" w:rsidP="00296D66">
            <w:pPr>
              <w:rPr>
                <w:sz w:val="16"/>
                <w:szCs w:val="16"/>
              </w:rPr>
            </w:pPr>
            <w:r w:rsidRPr="0055657C">
              <w:rPr>
                <w:sz w:val="16"/>
                <w:szCs w:val="16"/>
              </w:rPr>
              <w:t>520mg/100g OR 15% reduction for prod</w:t>
            </w:r>
            <w:r w:rsidR="00FB5819">
              <w:rPr>
                <w:sz w:val="16"/>
                <w:szCs w:val="16"/>
              </w:rPr>
              <w:t>ucts significantly above target</w:t>
            </w:r>
          </w:p>
          <w:p w14:paraId="76C44969" w14:textId="30BC2AA2" w:rsidR="00C06A59" w:rsidRPr="0055657C" w:rsidRDefault="00296D66" w:rsidP="00DE5FE6">
            <w:pPr>
              <w:rPr>
                <w:b/>
                <w:bCs/>
                <w:sz w:val="16"/>
                <w:szCs w:val="16"/>
              </w:rPr>
            </w:pPr>
            <w:r w:rsidRPr="0055657C">
              <w:rPr>
                <w:b/>
                <w:bCs/>
                <w:sz w:val="16"/>
                <w:szCs w:val="16"/>
              </w:rPr>
              <w:t>Extruded/pelleted snacks</w:t>
            </w:r>
          </w:p>
          <w:p w14:paraId="59D960A0" w14:textId="5AD2EB46" w:rsidR="00C06A59" w:rsidRPr="0055657C" w:rsidRDefault="00C06A59" w:rsidP="00DE5FE6">
            <w:pPr>
              <w:rPr>
                <w:sz w:val="16"/>
                <w:szCs w:val="16"/>
              </w:rPr>
            </w:pPr>
            <w:r w:rsidRPr="0055657C">
              <w:rPr>
                <w:sz w:val="16"/>
                <w:szCs w:val="16"/>
              </w:rPr>
              <w:t>770mg/100g OR 15% reduction for prod</w:t>
            </w:r>
            <w:r w:rsidR="00FB5819">
              <w:rPr>
                <w:sz w:val="16"/>
                <w:szCs w:val="16"/>
              </w:rPr>
              <w:t>ucts significantly above target</w:t>
            </w:r>
          </w:p>
          <w:p w14:paraId="24264DDE" w14:textId="77777777" w:rsidR="00296D66" w:rsidRPr="0055657C" w:rsidRDefault="00296D66" w:rsidP="00296D66">
            <w:pPr>
              <w:rPr>
                <w:b/>
                <w:bCs/>
                <w:sz w:val="16"/>
                <w:szCs w:val="16"/>
              </w:rPr>
            </w:pPr>
            <w:r w:rsidRPr="0055657C">
              <w:rPr>
                <w:b/>
                <w:bCs/>
                <w:sz w:val="16"/>
                <w:szCs w:val="16"/>
              </w:rPr>
              <w:t xml:space="preserve">Sheeted/reformed snacks </w:t>
            </w:r>
          </w:p>
          <w:p w14:paraId="19D7D538" w14:textId="48A13228" w:rsidR="00C06A59" w:rsidRPr="0055657C" w:rsidRDefault="00C06A59" w:rsidP="00DE5FE6">
            <w:pPr>
              <w:rPr>
                <w:sz w:val="16"/>
                <w:szCs w:val="16"/>
              </w:rPr>
            </w:pPr>
            <w:r w:rsidRPr="0055657C">
              <w:rPr>
                <w:sz w:val="16"/>
                <w:szCs w:val="16"/>
              </w:rPr>
              <w:t>520mg/100g OR 15% reduction for prod</w:t>
            </w:r>
            <w:r w:rsidR="00FB5819">
              <w:rPr>
                <w:sz w:val="16"/>
                <w:szCs w:val="16"/>
              </w:rPr>
              <w:t>ucts significantly above target</w:t>
            </w:r>
          </w:p>
          <w:p w14:paraId="2F223FCD" w14:textId="77777777" w:rsidR="00296D66" w:rsidRPr="0055657C" w:rsidRDefault="00296D66" w:rsidP="00296D66">
            <w:pPr>
              <w:rPr>
                <w:b/>
                <w:bCs/>
                <w:sz w:val="16"/>
                <w:szCs w:val="16"/>
              </w:rPr>
            </w:pPr>
            <w:r w:rsidRPr="0055657C">
              <w:rPr>
                <w:b/>
                <w:bCs/>
                <w:sz w:val="16"/>
                <w:szCs w:val="16"/>
              </w:rPr>
              <w:t>Popcorn</w:t>
            </w:r>
          </w:p>
          <w:p w14:paraId="237DA4DD" w14:textId="035F5777" w:rsidR="00C06A59" w:rsidRPr="0055657C" w:rsidRDefault="00C06A59" w:rsidP="00DE5FE6">
            <w:pPr>
              <w:rPr>
                <w:sz w:val="16"/>
                <w:szCs w:val="16"/>
              </w:rPr>
            </w:pPr>
            <w:r w:rsidRPr="0055657C">
              <w:rPr>
                <w:sz w:val="16"/>
                <w:szCs w:val="16"/>
              </w:rPr>
              <w:lastRenderedPageBreak/>
              <w:t>390mg/100g OR 15% reduction for prod</w:t>
            </w:r>
            <w:r w:rsidR="00FB5819">
              <w:rPr>
                <w:sz w:val="16"/>
                <w:szCs w:val="16"/>
              </w:rPr>
              <w:t>ucts significantly above target</w:t>
            </w:r>
          </w:p>
          <w:p w14:paraId="58ECFEBA" w14:textId="77777777" w:rsidR="00296D66" w:rsidRPr="0055657C" w:rsidRDefault="00296D66" w:rsidP="00296D66">
            <w:pPr>
              <w:rPr>
                <w:b/>
                <w:bCs/>
                <w:sz w:val="16"/>
                <w:szCs w:val="16"/>
              </w:rPr>
            </w:pPr>
            <w:r w:rsidRPr="0055657C">
              <w:rPr>
                <w:b/>
                <w:bCs/>
                <w:sz w:val="16"/>
                <w:szCs w:val="16"/>
              </w:rPr>
              <w:t>Salt and vinegar snacks</w:t>
            </w:r>
          </w:p>
          <w:p w14:paraId="48432553" w14:textId="587961D6" w:rsidR="00C06A59" w:rsidRPr="0055657C" w:rsidRDefault="00C06A59" w:rsidP="00DE5FE6">
            <w:pPr>
              <w:rPr>
                <w:sz w:val="16"/>
                <w:szCs w:val="16"/>
              </w:rPr>
            </w:pPr>
            <w:r w:rsidRPr="0055657C">
              <w:rPr>
                <w:sz w:val="16"/>
                <w:szCs w:val="16"/>
              </w:rPr>
              <w:t>740mg/100g OR 15% reduction for prod</w:t>
            </w:r>
            <w:r w:rsidR="00FB5819">
              <w:rPr>
                <w:sz w:val="16"/>
                <w:szCs w:val="16"/>
              </w:rPr>
              <w:t>ucts significantly above target</w:t>
            </w:r>
          </w:p>
          <w:p w14:paraId="1E21D55F" w14:textId="77777777" w:rsidR="00C06A59" w:rsidRPr="0055657C" w:rsidRDefault="00C06A59" w:rsidP="00DE5FE6">
            <w:pPr>
              <w:rPr>
                <w:b/>
                <w:sz w:val="16"/>
                <w:szCs w:val="16"/>
              </w:rPr>
            </w:pPr>
            <w:r w:rsidRPr="0055657C">
              <w:rPr>
                <w:b/>
                <w:sz w:val="16"/>
                <w:szCs w:val="16"/>
              </w:rPr>
              <w:t>Sugar</w:t>
            </w:r>
          </w:p>
          <w:p w14:paraId="49A1B18F" w14:textId="77777777" w:rsidR="00296D66" w:rsidRPr="0055657C" w:rsidRDefault="00296D66" w:rsidP="00296D66">
            <w:pPr>
              <w:rPr>
                <w:b/>
                <w:bCs/>
                <w:sz w:val="16"/>
                <w:szCs w:val="16"/>
              </w:rPr>
            </w:pPr>
            <w:r w:rsidRPr="0055657C">
              <w:rPr>
                <w:b/>
                <w:bCs/>
                <w:sz w:val="16"/>
                <w:szCs w:val="16"/>
              </w:rPr>
              <w:t>Popcorn</w:t>
            </w:r>
          </w:p>
          <w:p w14:paraId="07F9BA30" w14:textId="06F49115" w:rsidR="00C06A59" w:rsidRPr="0055657C" w:rsidRDefault="00C06A59" w:rsidP="00DE5FE6">
            <w:pPr>
              <w:rPr>
                <w:sz w:val="16"/>
                <w:szCs w:val="16"/>
              </w:rPr>
            </w:pPr>
            <w:r w:rsidRPr="0055657C">
              <w:rPr>
                <w:sz w:val="16"/>
                <w:szCs w:val="16"/>
              </w:rPr>
              <w:t>25g/100g OR 15% reduction for prod</w:t>
            </w:r>
            <w:r w:rsidR="00296D66" w:rsidRPr="0055657C">
              <w:rPr>
                <w:sz w:val="16"/>
                <w:szCs w:val="16"/>
              </w:rPr>
              <w:t>ucts significantly above target</w:t>
            </w:r>
          </w:p>
        </w:tc>
        <w:tc>
          <w:tcPr>
            <w:tcW w:w="1986" w:type="dxa"/>
            <w:shd w:val="clear" w:color="auto" w:fill="auto"/>
          </w:tcPr>
          <w:p w14:paraId="1268805B" w14:textId="77777777" w:rsidR="00C06A59" w:rsidRPr="0055657C" w:rsidRDefault="00C06A59" w:rsidP="00DE5FE6">
            <w:pPr>
              <w:rPr>
                <w:sz w:val="16"/>
                <w:szCs w:val="16"/>
              </w:rPr>
            </w:pPr>
            <w:r w:rsidRPr="0055657C">
              <w:rPr>
                <w:sz w:val="16"/>
                <w:szCs w:val="16"/>
              </w:rPr>
              <w:lastRenderedPageBreak/>
              <w:t xml:space="preserve">Targets reset </w:t>
            </w:r>
            <w:proofErr w:type="gramStart"/>
            <w:r w:rsidRPr="0055657C">
              <w:rPr>
                <w:sz w:val="16"/>
                <w:szCs w:val="16"/>
              </w:rPr>
              <w:t>2019;</w:t>
            </w:r>
            <w:proofErr w:type="gramEnd"/>
          </w:p>
          <w:p w14:paraId="4E10F062" w14:textId="77777777" w:rsidR="00C06A59" w:rsidRPr="0055657C" w:rsidRDefault="00C06A59" w:rsidP="00DE5FE6">
            <w:pPr>
              <w:rPr>
                <w:sz w:val="16"/>
                <w:szCs w:val="16"/>
              </w:rPr>
            </w:pPr>
            <w:r w:rsidRPr="0055657C">
              <w:rPr>
                <w:sz w:val="16"/>
                <w:szCs w:val="16"/>
              </w:rPr>
              <w:t>Target review May 2024.</w:t>
            </w:r>
          </w:p>
        </w:tc>
        <w:tc>
          <w:tcPr>
            <w:tcW w:w="2925" w:type="dxa"/>
            <w:shd w:val="clear" w:color="auto" w:fill="auto"/>
          </w:tcPr>
          <w:p w14:paraId="698BD7B8" w14:textId="247FE474" w:rsidR="00C06A59" w:rsidRPr="0055657C" w:rsidRDefault="00C06A59" w:rsidP="00DE5FE6">
            <w:pPr>
              <w:rPr>
                <w:sz w:val="16"/>
                <w:szCs w:val="16"/>
              </w:rPr>
            </w:pPr>
            <w:r w:rsidRPr="0055657C">
              <w:rPr>
                <w:sz w:val="16"/>
                <w:szCs w:val="16"/>
              </w:rPr>
              <w:t>2014: A</w:t>
            </w:r>
            <w:r w:rsidR="00FB5819">
              <w:rPr>
                <w:sz w:val="16"/>
                <w:szCs w:val="16"/>
              </w:rPr>
              <w:t>verage and maximum targets set.</w:t>
            </w:r>
          </w:p>
          <w:p w14:paraId="7ECC9196" w14:textId="6FAEB9B4" w:rsidR="00C06A59" w:rsidRPr="0055657C" w:rsidRDefault="00C06A59" w:rsidP="00DE5FE6">
            <w:pPr>
              <w:rPr>
                <w:sz w:val="16"/>
                <w:szCs w:val="16"/>
              </w:rPr>
            </w:pPr>
            <w:r w:rsidRPr="0055657C">
              <w:rPr>
                <w:sz w:val="16"/>
                <w:szCs w:val="16"/>
              </w:rPr>
              <w:t>2018 review: Three categories had over 90% of their SKUs below the maximum sodium targets; the excepti</w:t>
            </w:r>
            <w:r w:rsidR="00FB5819">
              <w:rPr>
                <w:sz w:val="16"/>
                <w:szCs w:val="16"/>
              </w:rPr>
              <w:t>on being extruded snacks (81%).</w:t>
            </w:r>
          </w:p>
          <w:p w14:paraId="08FA2C58" w14:textId="3FFC4088" w:rsidR="00C06A59" w:rsidRPr="0055657C" w:rsidRDefault="00C06A59" w:rsidP="00DE5FE6">
            <w:pPr>
              <w:rPr>
                <w:sz w:val="16"/>
                <w:szCs w:val="16"/>
              </w:rPr>
            </w:pPr>
            <w:r w:rsidRPr="0055657C">
              <w:rPr>
                <w:sz w:val="16"/>
                <w:szCs w:val="16"/>
              </w:rPr>
              <w:t>Based on the top selling SKUs (80% sales volume), the average sodium for each of the 4 cate</w:t>
            </w:r>
            <w:r w:rsidR="004B0842" w:rsidRPr="0055657C">
              <w:rPr>
                <w:sz w:val="16"/>
                <w:szCs w:val="16"/>
              </w:rPr>
              <w:t xml:space="preserve">gories met the average target. </w:t>
            </w:r>
          </w:p>
          <w:p w14:paraId="0083E166" w14:textId="1C680149" w:rsidR="00C06A59" w:rsidRPr="0055657C" w:rsidRDefault="00C06A59" w:rsidP="00DE5FE6">
            <w:pPr>
              <w:rPr>
                <w:sz w:val="16"/>
                <w:szCs w:val="16"/>
              </w:rPr>
            </w:pPr>
            <w:r w:rsidRPr="0055657C">
              <w:rPr>
                <w:sz w:val="16"/>
                <w:szCs w:val="16"/>
              </w:rPr>
              <w:t>There has been between 10% and 32% reduction in the median sodium content for each of the four categories of sna</w:t>
            </w:r>
            <w:r w:rsidR="004B0842" w:rsidRPr="0055657C">
              <w:rPr>
                <w:sz w:val="16"/>
                <w:szCs w:val="16"/>
              </w:rPr>
              <w:t xml:space="preserve">cks (April 2014 - April 2018). </w:t>
            </w:r>
            <w:r w:rsidRPr="0055657C">
              <w:rPr>
                <w:sz w:val="16"/>
                <w:szCs w:val="16"/>
              </w:rPr>
              <w:t xml:space="preserve">This </w:t>
            </w:r>
            <w:proofErr w:type="gramStart"/>
            <w:r w:rsidRPr="0055657C">
              <w:rPr>
                <w:sz w:val="16"/>
                <w:szCs w:val="16"/>
              </w:rPr>
              <w:t>takes into account</w:t>
            </w:r>
            <w:proofErr w:type="gramEnd"/>
            <w:r w:rsidRPr="0055657C">
              <w:rPr>
                <w:sz w:val="16"/>
                <w:szCs w:val="16"/>
              </w:rPr>
              <w:t xml:space="preserve"> product reformulation, product deletion and new product development.</w:t>
            </w:r>
          </w:p>
          <w:p w14:paraId="13987AE9" w14:textId="60AB0D71" w:rsidR="00296D66" w:rsidRPr="0055657C" w:rsidRDefault="00C06A59" w:rsidP="00DE5FE6">
            <w:pPr>
              <w:rPr>
                <w:sz w:val="16"/>
                <w:szCs w:val="16"/>
              </w:rPr>
            </w:pPr>
            <w:r w:rsidRPr="0055657C">
              <w:rPr>
                <w:sz w:val="16"/>
                <w:szCs w:val="16"/>
              </w:rPr>
              <w:t xml:space="preserve">Based on sodium reduction in matched pairs of products, almost 11 tonnes of salt have been removed from </w:t>
            </w:r>
            <w:r w:rsidR="004B0842" w:rsidRPr="0055657C">
              <w:rPr>
                <w:sz w:val="16"/>
                <w:szCs w:val="16"/>
              </w:rPr>
              <w:t>reformulated snacks since 2014.</w:t>
            </w:r>
          </w:p>
          <w:p w14:paraId="3C8AE88A" w14:textId="77777777" w:rsidR="00C06A59" w:rsidRPr="0055657C" w:rsidRDefault="00C06A59" w:rsidP="00DE5FE6">
            <w:pPr>
              <w:rPr>
                <w:sz w:val="16"/>
                <w:szCs w:val="16"/>
              </w:rPr>
            </w:pPr>
            <w:r w:rsidRPr="0055657C">
              <w:rPr>
                <w:sz w:val="16"/>
                <w:szCs w:val="16"/>
              </w:rPr>
              <w:lastRenderedPageBreak/>
              <w:t>2019: The reset sodium targets represent 26-38% reductions from the previous targets set in 2014.</w:t>
            </w:r>
          </w:p>
        </w:tc>
      </w:tr>
      <w:tr w:rsidR="00C06A59" w:rsidRPr="00C06A59" w14:paraId="415D986E" w14:textId="77777777" w:rsidTr="00DE5FE6">
        <w:tc>
          <w:tcPr>
            <w:tcW w:w="1978" w:type="dxa"/>
            <w:shd w:val="clear" w:color="auto" w:fill="auto"/>
          </w:tcPr>
          <w:p w14:paraId="437D9E62" w14:textId="77777777" w:rsidR="00C06A59" w:rsidRPr="0055657C" w:rsidRDefault="00C06A59" w:rsidP="00DE5FE6">
            <w:pPr>
              <w:rPr>
                <w:b/>
                <w:bCs/>
                <w:sz w:val="16"/>
                <w:szCs w:val="16"/>
              </w:rPr>
            </w:pPr>
            <w:r w:rsidRPr="0055657C">
              <w:rPr>
                <w:b/>
                <w:bCs/>
                <w:sz w:val="16"/>
                <w:szCs w:val="16"/>
              </w:rPr>
              <w:lastRenderedPageBreak/>
              <w:t>Cooking Sauces</w:t>
            </w:r>
          </w:p>
          <w:p w14:paraId="65728E25" w14:textId="0732D3A3" w:rsidR="00C06A59" w:rsidRPr="0055657C" w:rsidRDefault="00C06A59" w:rsidP="00DE5FE6">
            <w:pPr>
              <w:rPr>
                <w:sz w:val="16"/>
                <w:szCs w:val="16"/>
              </w:rPr>
            </w:pPr>
            <w:r w:rsidRPr="0055657C">
              <w:rPr>
                <w:sz w:val="16"/>
                <w:szCs w:val="16"/>
              </w:rPr>
              <w:t>Pasta, Indian-style and other sauces which are a major character</w:t>
            </w:r>
            <w:r w:rsidR="00296D66" w:rsidRPr="0055657C">
              <w:rPr>
                <w:sz w:val="16"/>
                <w:szCs w:val="16"/>
              </w:rPr>
              <w:t>ising component of a meal</w:t>
            </w:r>
          </w:p>
        </w:tc>
        <w:tc>
          <w:tcPr>
            <w:tcW w:w="2127" w:type="dxa"/>
            <w:shd w:val="clear" w:color="auto" w:fill="auto"/>
          </w:tcPr>
          <w:p w14:paraId="76C4047E" w14:textId="77777777" w:rsidR="00C06A59" w:rsidRPr="0055657C" w:rsidRDefault="00C06A59" w:rsidP="00DE5FE6">
            <w:pPr>
              <w:rPr>
                <w:b/>
                <w:sz w:val="16"/>
                <w:szCs w:val="16"/>
              </w:rPr>
            </w:pPr>
            <w:r w:rsidRPr="0055657C">
              <w:rPr>
                <w:b/>
                <w:sz w:val="16"/>
                <w:szCs w:val="16"/>
              </w:rPr>
              <w:t xml:space="preserve">Sodium </w:t>
            </w:r>
          </w:p>
          <w:p w14:paraId="24C5E109" w14:textId="0AC2A599" w:rsidR="00C06A59" w:rsidRPr="00182B73" w:rsidRDefault="00C06A59" w:rsidP="00DE5FE6">
            <w:pPr>
              <w:rPr>
                <w:sz w:val="16"/>
                <w:szCs w:val="16"/>
              </w:rPr>
            </w:pPr>
            <w:r w:rsidRPr="0055657C">
              <w:rPr>
                <w:sz w:val="16"/>
                <w:szCs w:val="16"/>
              </w:rPr>
              <w:t>380mg/100g OR 15% reduction for products significantly above 380mg/100g</w:t>
            </w:r>
          </w:p>
          <w:p w14:paraId="5656CCD1" w14:textId="77777777" w:rsidR="00C06A59" w:rsidRPr="0055657C" w:rsidRDefault="00C06A59" w:rsidP="00DE5FE6">
            <w:pPr>
              <w:rPr>
                <w:b/>
                <w:sz w:val="16"/>
                <w:szCs w:val="16"/>
              </w:rPr>
            </w:pPr>
            <w:r w:rsidRPr="0055657C">
              <w:rPr>
                <w:b/>
                <w:sz w:val="16"/>
                <w:szCs w:val="16"/>
              </w:rPr>
              <w:t>Total Sugar</w:t>
            </w:r>
          </w:p>
          <w:p w14:paraId="1CB2EC5C" w14:textId="6F56D122" w:rsidR="00C06A59" w:rsidRPr="0055657C" w:rsidRDefault="00C06A59" w:rsidP="00DE5FE6">
            <w:pPr>
              <w:rPr>
                <w:sz w:val="16"/>
                <w:szCs w:val="16"/>
              </w:rPr>
            </w:pPr>
            <w:r w:rsidRPr="0055657C">
              <w:rPr>
                <w:sz w:val="16"/>
                <w:szCs w:val="16"/>
              </w:rPr>
              <w:t>5g/100g OR 15% reduction for produ</w:t>
            </w:r>
            <w:r w:rsidR="00FB5819">
              <w:rPr>
                <w:sz w:val="16"/>
                <w:szCs w:val="16"/>
              </w:rPr>
              <w:t>cts significantly above 5g/100g</w:t>
            </w:r>
          </w:p>
        </w:tc>
        <w:tc>
          <w:tcPr>
            <w:tcW w:w="1986" w:type="dxa"/>
            <w:shd w:val="clear" w:color="auto" w:fill="auto"/>
          </w:tcPr>
          <w:p w14:paraId="17223CA6" w14:textId="77777777" w:rsidR="00C06A59" w:rsidRPr="0055657C" w:rsidRDefault="00C06A59" w:rsidP="00DE5FE6">
            <w:pPr>
              <w:rPr>
                <w:sz w:val="16"/>
                <w:szCs w:val="16"/>
              </w:rPr>
            </w:pPr>
            <w:r w:rsidRPr="0055657C">
              <w:rPr>
                <w:sz w:val="16"/>
                <w:szCs w:val="16"/>
              </w:rPr>
              <w:t xml:space="preserve">Targets reset June </w:t>
            </w:r>
            <w:proofErr w:type="gramStart"/>
            <w:r w:rsidRPr="0055657C">
              <w:rPr>
                <w:sz w:val="16"/>
                <w:szCs w:val="16"/>
              </w:rPr>
              <w:t>2018;</w:t>
            </w:r>
            <w:proofErr w:type="gramEnd"/>
          </w:p>
          <w:p w14:paraId="177D5AC3" w14:textId="77777777" w:rsidR="00C06A59" w:rsidRPr="0055657C" w:rsidRDefault="00C06A59" w:rsidP="00DE5FE6">
            <w:pPr>
              <w:rPr>
                <w:sz w:val="16"/>
                <w:szCs w:val="16"/>
              </w:rPr>
            </w:pPr>
            <w:r w:rsidRPr="0055657C">
              <w:rPr>
                <w:sz w:val="16"/>
                <w:szCs w:val="16"/>
              </w:rPr>
              <w:t>Target review June 2023</w:t>
            </w:r>
          </w:p>
        </w:tc>
        <w:tc>
          <w:tcPr>
            <w:tcW w:w="2925" w:type="dxa"/>
            <w:tcBorders>
              <w:top w:val="nil"/>
              <w:left w:val="nil"/>
              <w:bottom w:val="single" w:sz="6" w:space="0" w:color="auto"/>
              <w:right w:val="single" w:sz="6" w:space="0" w:color="auto"/>
            </w:tcBorders>
            <w:shd w:val="clear" w:color="auto" w:fill="auto"/>
          </w:tcPr>
          <w:p w14:paraId="58C5B23B" w14:textId="195F5805" w:rsidR="00C06A59" w:rsidRPr="00182B73" w:rsidRDefault="00C06A59" w:rsidP="00DE5FE6">
            <w:pPr>
              <w:pStyle w:val="paragraph"/>
              <w:spacing w:before="0" w:beforeAutospacing="0" w:after="0" w:afterAutospacing="0"/>
              <w:textAlignment w:val="baseline"/>
              <w:rPr>
                <w:rFonts w:eastAsiaTheme="majorEastAsia"/>
                <w:sz w:val="16"/>
                <w:szCs w:val="16"/>
              </w:rPr>
            </w:pPr>
            <w:r w:rsidRPr="0055657C">
              <w:rPr>
                <w:rStyle w:val="normaltextrun"/>
                <w:rFonts w:eastAsiaTheme="majorEastAsia"/>
                <w:sz w:val="16"/>
                <w:szCs w:val="16"/>
              </w:rPr>
              <w:t>2014: Targets set</w:t>
            </w:r>
            <w:r w:rsidRPr="0055657C">
              <w:rPr>
                <w:rStyle w:val="eop"/>
                <w:rFonts w:eastAsiaTheme="majorEastAsia"/>
                <w:sz w:val="16"/>
                <w:szCs w:val="16"/>
              </w:rPr>
              <w:t> </w:t>
            </w:r>
          </w:p>
          <w:p w14:paraId="33535CEC" w14:textId="3D6FBC5C" w:rsidR="00C06A59" w:rsidRPr="0055657C" w:rsidRDefault="00C06A59" w:rsidP="00DE5FE6">
            <w:pPr>
              <w:pStyle w:val="paragraph"/>
              <w:spacing w:before="0" w:beforeAutospacing="0" w:after="0" w:afterAutospacing="0"/>
              <w:textAlignment w:val="baseline"/>
              <w:rPr>
                <w:sz w:val="18"/>
                <w:szCs w:val="18"/>
              </w:rPr>
            </w:pPr>
            <w:r w:rsidRPr="0055657C">
              <w:rPr>
                <w:rStyle w:val="normaltextrun"/>
                <w:rFonts w:eastAsiaTheme="majorEastAsia"/>
                <w:sz w:val="16"/>
                <w:szCs w:val="16"/>
              </w:rPr>
              <w:t>2017 review: Pasta/Indian sauces</w:t>
            </w:r>
            <w:r w:rsidR="00A26BB3" w:rsidRPr="0055657C">
              <w:rPr>
                <w:rStyle w:val="normaltextrun"/>
                <w:rFonts w:eastAsiaTheme="majorEastAsia"/>
                <w:sz w:val="16"/>
                <w:szCs w:val="16"/>
              </w:rPr>
              <w:t>: 77</w:t>
            </w:r>
            <w:r w:rsidRPr="0055657C">
              <w:rPr>
                <w:rStyle w:val="normaltextrun"/>
                <w:rFonts w:eastAsiaTheme="majorEastAsia"/>
                <w:sz w:val="16"/>
                <w:szCs w:val="16"/>
              </w:rPr>
              <w:t>% (by sales volume) met 420mg target; 11%-13% reduction in mean sodium across categories. But of the companies that make up 70% Asian sauces: 50% (by sales volume) met the 680mg target.</w:t>
            </w:r>
            <w:r w:rsidRPr="0055657C">
              <w:rPr>
                <w:rStyle w:val="eop"/>
                <w:rFonts w:eastAsiaTheme="majorEastAsia"/>
                <w:sz w:val="16"/>
                <w:szCs w:val="16"/>
              </w:rPr>
              <w:t> </w:t>
            </w:r>
          </w:p>
          <w:p w14:paraId="1DF0FE6F" w14:textId="097EED7B" w:rsidR="00C06A59" w:rsidRPr="0055657C" w:rsidRDefault="00C06A59" w:rsidP="0055657C">
            <w:pPr>
              <w:pStyle w:val="paragraph"/>
              <w:spacing w:before="0" w:beforeAutospacing="0" w:after="0" w:afterAutospacing="0"/>
              <w:textAlignment w:val="baseline"/>
              <w:rPr>
                <w:sz w:val="18"/>
                <w:szCs w:val="18"/>
              </w:rPr>
            </w:pPr>
            <w:r w:rsidRPr="0055657C">
              <w:rPr>
                <w:rStyle w:val="normaltextrun"/>
                <w:rFonts w:eastAsiaTheme="majorEastAsia"/>
                <w:sz w:val="16"/>
                <w:szCs w:val="16"/>
              </w:rPr>
              <w:t>Total 6.3 tonnes salt removed per annum from matched pairs (also includes reformulation of Asian sauces) 2014-201</w:t>
            </w:r>
            <w:r w:rsidR="004B0842" w:rsidRPr="0055657C">
              <w:rPr>
                <w:rStyle w:val="normaltextrun"/>
                <w:rFonts w:eastAsiaTheme="majorEastAsia"/>
                <w:sz w:val="16"/>
                <w:szCs w:val="16"/>
              </w:rPr>
              <w:t>7.</w:t>
            </w:r>
          </w:p>
        </w:tc>
      </w:tr>
      <w:tr w:rsidR="00C06A59" w:rsidRPr="00C06A59" w14:paraId="385C90FA" w14:textId="77777777" w:rsidTr="00DE5FE6">
        <w:tc>
          <w:tcPr>
            <w:tcW w:w="1978" w:type="dxa"/>
            <w:shd w:val="clear" w:color="auto" w:fill="auto"/>
          </w:tcPr>
          <w:p w14:paraId="20EC9CC1" w14:textId="619B8A8A" w:rsidR="00C06A59" w:rsidRPr="00182B73" w:rsidRDefault="00C06A59" w:rsidP="00DE5FE6">
            <w:pPr>
              <w:rPr>
                <w:b/>
                <w:bCs/>
                <w:sz w:val="16"/>
                <w:szCs w:val="16"/>
              </w:rPr>
            </w:pPr>
            <w:r w:rsidRPr="0055657C">
              <w:rPr>
                <w:b/>
                <w:bCs/>
                <w:sz w:val="16"/>
                <w:szCs w:val="16"/>
              </w:rPr>
              <w:t>Asian sauces</w:t>
            </w:r>
          </w:p>
        </w:tc>
        <w:tc>
          <w:tcPr>
            <w:tcW w:w="2127" w:type="dxa"/>
            <w:shd w:val="clear" w:color="auto" w:fill="auto"/>
          </w:tcPr>
          <w:p w14:paraId="3046557B" w14:textId="77777777" w:rsidR="00C06A59" w:rsidRPr="0055657C" w:rsidRDefault="00C06A59" w:rsidP="00DE5FE6">
            <w:pPr>
              <w:rPr>
                <w:b/>
                <w:sz w:val="16"/>
                <w:szCs w:val="16"/>
              </w:rPr>
            </w:pPr>
            <w:r w:rsidRPr="0055657C">
              <w:rPr>
                <w:b/>
                <w:sz w:val="16"/>
                <w:szCs w:val="16"/>
              </w:rPr>
              <w:t xml:space="preserve">Sodium </w:t>
            </w:r>
          </w:p>
          <w:p w14:paraId="57CBFB00" w14:textId="083C8681" w:rsidR="00C06A59" w:rsidRPr="0055657C" w:rsidRDefault="00C06A59" w:rsidP="00DE5FE6">
            <w:pPr>
              <w:rPr>
                <w:sz w:val="16"/>
                <w:szCs w:val="16"/>
              </w:rPr>
            </w:pPr>
            <w:r w:rsidRPr="0055657C">
              <w:rPr>
                <w:sz w:val="16"/>
                <w:szCs w:val="16"/>
              </w:rPr>
              <w:t>680 mg/100g OR 15% reduction for products significantly above 680mg/100g.</w:t>
            </w:r>
          </w:p>
          <w:p w14:paraId="47690850" w14:textId="77777777" w:rsidR="00C06A59" w:rsidRPr="0055657C" w:rsidRDefault="00C06A59" w:rsidP="00DE5FE6">
            <w:pPr>
              <w:rPr>
                <w:b/>
                <w:sz w:val="16"/>
                <w:szCs w:val="16"/>
              </w:rPr>
            </w:pPr>
            <w:r w:rsidRPr="0055657C">
              <w:rPr>
                <w:b/>
                <w:sz w:val="16"/>
                <w:szCs w:val="16"/>
              </w:rPr>
              <w:t>Total Sugar</w:t>
            </w:r>
          </w:p>
          <w:p w14:paraId="3A4F5373" w14:textId="7F04F3E1" w:rsidR="00C06A59" w:rsidRPr="0055657C" w:rsidRDefault="00C06A59" w:rsidP="00DE5FE6">
            <w:pPr>
              <w:rPr>
                <w:sz w:val="16"/>
                <w:szCs w:val="16"/>
              </w:rPr>
            </w:pPr>
            <w:r w:rsidRPr="0055657C">
              <w:rPr>
                <w:sz w:val="16"/>
                <w:szCs w:val="16"/>
              </w:rPr>
              <w:t>20g/100g OR 15% reduction for products significantly abov</w:t>
            </w:r>
            <w:r w:rsidR="0055657C" w:rsidRPr="0055657C">
              <w:rPr>
                <w:sz w:val="16"/>
                <w:szCs w:val="16"/>
              </w:rPr>
              <w:t>e 20g/100g</w:t>
            </w:r>
          </w:p>
        </w:tc>
        <w:tc>
          <w:tcPr>
            <w:tcW w:w="1986" w:type="dxa"/>
            <w:shd w:val="clear" w:color="auto" w:fill="auto"/>
          </w:tcPr>
          <w:p w14:paraId="10412E62" w14:textId="77777777" w:rsidR="00C06A59" w:rsidRPr="0055657C" w:rsidRDefault="00C06A59" w:rsidP="00DE5FE6">
            <w:pPr>
              <w:rPr>
                <w:sz w:val="16"/>
                <w:szCs w:val="16"/>
              </w:rPr>
            </w:pPr>
            <w:r w:rsidRPr="0055657C">
              <w:rPr>
                <w:sz w:val="16"/>
                <w:szCs w:val="16"/>
              </w:rPr>
              <w:t xml:space="preserve">Targets reset Aug </w:t>
            </w:r>
            <w:proofErr w:type="gramStart"/>
            <w:r w:rsidRPr="0055657C">
              <w:rPr>
                <w:sz w:val="16"/>
                <w:szCs w:val="16"/>
              </w:rPr>
              <w:t>2016;</w:t>
            </w:r>
            <w:proofErr w:type="gramEnd"/>
          </w:p>
          <w:p w14:paraId="0A65542A" w14:textId="4D2D17F2" w:rsidR="00C06A59" w:rsidRPr="0055657C" w:rsidRDefault="00C06A59" w:rsidP="00DE5FE6">
            <w:pPr>
              <w:rPr>
                <w:sz w:val="16"/>
                <w:szCs w:val="16"/>
              </w:rPr>
            </w:pPr>
            <w:r w:rsidRPr="0055657C">
              <w:rPr>
                <w:sz w:val="16"/>
                <w:szCs w:val="16"/>
              </w:rPr>
              <w:t>Target review Aug 2021</w:t>
            </w:r>
          </w:p>
        </w:tc>
        <w:tc>
          <w:tcPr>
            <w:tcW w:w="2925" w:type="dxa"/>
            <w:tcBorders>
              <w:top w:val="nil"/>
              <w:left w:val="nil"/>
              <w:bottom w:val="single" w:sz="6" w:space="0" w:color="auto"/>
              <w:right w:val="single" w:sz="6" w:space="0" w:color="auto"/>
            </w:tcBorders>
            <w:shd w:val="clear" w:color="auto" w:fill="auto"/>
          </w:tcPr>
          <w:p w14:paraId="67C3730D" w14:textId="15D9D694" w:rsidR="00C06A59" w:rsidRPr="0055657C" w:rsidRDefault="00C06A59" w:rsidP="00DE5FE6">
            <w:pPr>
              <w:pStyle w:val="paragraph"/>
              <w:spacing w:before="0" w:beforeAutospacing="0" w:after="0" w:afterAutospacing="0"/>
              <w:textAlignment w:val="baseline"/>
              <w:rPr>
                <w:sz w:val="18"/>
                <w:szCs w:val="18"/>
              </w:rPr>
            </w:pPr>
            <w:r w:rsidRPr="0055657C">
              <w:rPr>
                <w:rStyle w:val="normaltextrun"/>
                <w:rFonts w:eastAsiaTheme="majorEastAsia"/>
                <w:sz w:val="16"/>
                <w:szCs w:val="16"/>
              </w:rPr>
              <w:t>2017 review: see above.</w:t>
            </w:r>
            <w:r w:rsidRPr="0055657C">
              <w:rPr>
                <w:rStyle w:val="eop"/>
                <w:rFonts w:eastAsiaTheme="majorEastAsia"/>
                <w:sz w:val="16"/>
                <w:szCs w:val="16"/>
              </w:rPr>
              <w:t> </w:t>
            </w:r>
          </w:p>
          <w:p w14:paraId="5021B654" w14:textId="77777777" w:rsidR="00C06A59" w:rsidRPr="0055657C" w:rsidRDefault="00C06A59" w:rsidP="00DE5FE6">
            <w:pPr>
              <w:rPr>
                <w:sz w:val="16"/>
                <w:szCs w:val="16"/>
              </w:rPr>
            </w:pPr>
            <w:r w:rsidRPr="0055657C">
              <w:rPr>
                <w:rStyle w:val="normaltextrun"/>
                <w:sz w:val="16"/>
                <w:szCs w:val="16"/>
              </w:rPr>
              <w:t>Interim highlight (2020): One company reformulated 9 sauces achieving 8% median sugar reduction, 10% median sodium reduction.</w:t>
            </w:r>
          </w:p>
        </w:tc>
      </w:tr>
      <w:tr w:rsidR="00C06A59" w:rsidRPr="00C06A59" w14:paraId="1066E463" w14:textId="77777777" w:rsidTr="00DE5FE6">
        <w:tc>
          <w:tcPr>
            <w:tcW w:w="1978" w:type="dxa"/>
            <w:shd w:val="clear" w:color="auto" w:fill="auto"/>
          </w:tcPr>
          <w:p w14:paraId="5232A634" w14:textId="77777777" w:rsidR="00C06A59" w:rsidRPr="0055657C" w:rsidRDefault="00C06A59" w:rsidP="00DE5FE6">
            <w:pPr>
              <w:rPr>
                <w:b/>
                <w:sz w:val="18"/>
                <w:szCs w:val="18"/>
              </w:rPr>
            </w:pPr>
            <w:r w:rsidRPr="0055657C">
              <w:rPr>
                <w:b/>
                <w:sz w:val="16"/>
                <w:szCs w:val="16"/>
              </w:rPr>
              <w:t xml:space="preserve">Gravies &amp; Finishing Sauces </w:t>
            </w:r>
          </w:p>
        </w:tc>
        <w:tc>
          <w:tcPr>
            <w:tcW w:w="2127" w:type="dxa"/>
            <w:shd w:val="clear" w:color="auto" w:fill="auto"/>
          </w:tcPr>
          <w:p w14:paraId="7C1EFB7E" w14:textId="77777777" w:rsidR="00C06A59" w:rsidRPr="0055657C" w:rsidRDefault="00C06A59" w:rsidP="00DE5FE6">
            <w:pPr>
              <w:rPr>
                <w:b/>
                <w:sz w:val="16"/>
                <w:szCs w:val="16"/>
              </w:rPr>
            </w:pPr>
            <w:r w:rsidRPr="0055657C">
              <w:rPr>
                <w:b/>
                <w:sz w:val="16"/>
                <w:szCs w:val="16"/>
              </w:rPr>
              <w:t xml:space="preserve">Sodium </w:t>
            </w:r>
          </w:p>
          <w:p w14:paraId="4A0895FB" w14:textId="45B4FC2C" w:rsidR="00C06A59" w:rsidRPr="0055657C" w:rsidRDefault="00C06A59" w:rsidP="00DE5FE6">
            <w:pPr>
              <w:rPr>
                <w:bCs/>
                <w:sz w:val="16"/>
                <w:szCs w:val="16"/>
              </w:rPr>
            </w:pPr>
            <w:r w:rsidRPr="0055657C">
              <w:rPr>
                <w:bCs/>
                <w:sz w:val="16"/>
                <w:szCs w:val="16"/>
              </w:rPr>
              <w:t xml:space="preserve">450mg/100ml OR 15% reduction for products that are </w:t>
            </w:r>
            <w:r w:rsidR="0055657C" w:rsidRPr="0055657C">
              <w:rPr>
                <w:bCs/>
                <w:sz w:val="16"/>
                <w:szCs w:val="16"/>
              </w:rPr>
              <w:t>significantly above 450mg/100ml</w:t>
            </w:r>
          </w:p>
        </w:tc>
        <w:tc>
          <w:tcPr>
            <w:tcW w:w="1986" w:type="dxa"/>
            <w:shd w:val="clear" w:color="auto" w:fill="auto"/>
          </w:tcPr>
          <w:p w14:paraId="466E98D9" w14:textId="77777777" w:rsidR="00C06A59" w:rsidRPr="0055657C" w:rsidRDefault="00C06A59" w:rsidP="00DE5FE6">
            <w:pPr>
              <w:rPr>
                <w:sz w:val="16"/>
                <w:szCs w:val="16"/>
              </w:rPr>
            </w:pPr>
            <w:r w:rsidRPr="0055657C">
              <w:rPr>
                <w:sz w:val="16"/>
                <w:szCs w:val="16"/>
              </w:rPr>
              <w:t>Target set June 2020; Target review June 2024</w:t>
            </w:r>
          </w:p>
        </w:tc>
        <w:tc>
          <w:tcPr>
            <w:tcW w:w="2925" w:type="dxa"/>
            <w:tcBorders>
              <w:top w:val="nil"/>
              <w:left w:val="nil"/>
              <w:bottom w:val="single" w:sz="6" w:space="0" w:color="auto"/>
              <w:right w:val="single" w:sz="6" w:space="0" w:color="auto"/>
            </w:tcBorders>
            <w:shd w:val="clear" w:color="auto" w:fill="auto"/>
          </w:tcPr>
          <w:p w14:paraId="1BEA8E6E" w14:textId="77777777" w:rsidR="00C06A59" w:rsidRPr="0055657C" w:rsidRDefault="00C06A59" w:rsidP="00DE5FE6">
            <w:pPr>
              <w:rPr>
                <w:sz w:val="16"/>
                <w:szCs w:val="16"/>
              </w:rPr>
            </w:pPr>
            <w:r w:rsidRPr="0055657C">
              <w:rPr>
                <w:rStyle w:val="normaltextrun"/>
                <w:sz w:val="16"/>
                <w:szCs w:val="16"/>
              </w:rPr>
              <w:t>N/A – new target</w:t>
            </w:r>
            <w:r w:rsidRPr="0055657C">
              <w:rPr>
                <w:rStyle w:val="eop"/>
                <w:sz w:val="16"/>
                <w:szCs w:val="16"/>
              </w:rPr>
              <w:t> </w:t>
            </w:r>
          </w:p>
        </w:tc>
      </w:tr>
      <w:tr w:rsidR="00C06A59" w:rsidRPr="00C06A59" w14:paraId="2AEB3DBF" w14:textId="77777777" w:rsidTr="00DE5FE6">
        <w:tc>
          <w:tcPr>
            <w:tcW w:w="1978" w:type="dxa"/>
            <w:shd w:val="clear" w:color="auto" w:fill="auto"/>
          </w:tcPr>
          <w:p w14:paraId="7C7216A7" w14:textId="65B300EB" w:rsidR="00C06A59" w:rsidRPr="0055657C" w:rsidRDefault="00C06A59" w:rsidP="00DE5FE6">
            <w:pPr>
              <w:rPr>
                <w:b/>
                <w:sz w:val="18"/>
                <w:szCs w:val="18"/>
              </w:rPr>
            </w:pPr>
            <w:r w:rsidRPr="0055657C">
              <w:rPr>
                <w:b/>
                <w:sz w:val="18"/>
                <w:szCs w:val="18"/>
              </w:rPr>
              <w:t>Powdered Meal Bases</w:t>
            </w:r>
          </w:p>
        </w:tc>
        <w:tc>
          <w:tcPr>
            <w:tcW w:w="2127" w:type="dxa"/>
            <w:shd w:val="clear" w:color="auto" w:fill="auto"/>
          </w:tcPr>
          <w:p w14:paraId="3FDBFA88" w14:textId="77777777" w:rsidR="00C06A59" w:rsidRPr="0055657C" w:rsidRDefault="00C06A59" w:rsidP="00DE5FE6">
            <w:pPr>
              <w:rPr>
                <w:b/>
                <w:sz w:val="16"/>
                <w:szCs w:val="16"/>
              </w:rPr>
            </w:pPr>
            <w:r w:rsidRPr="0055657C">
              <w:rPr>
                <w:b/>
                <w:sz w:val="16"/>
                <w:szCs w:val="16"/>
              </w:rPr>
              <w:t xml:space="preserve">Sodium </w:t>
            </w:r>
          </w:p>
          <w:p w14:paraId="749BCDEC" w14:textId="226E768B" w:rsidR="00C06A59" w:rsidRPr="0055657C" w:rsidRDefault="00C06A59" w:rsidP="00DE5FE6">
            <w:pPr>
              <w:rPr>
                <w:sz w:val="16"/>
                <w:szCs w:val="16"/>
              </w:rPr>
            </w:pPr>
            <w:r w:rsidRPr="0055657C">
              <w:rPr>
                <w:sz w:val="16"/>
                <w:szCs w:val="16"/>
              </w:rPr>
              <w:t xml:space="preserve">5000mg/100g OR 15% reduction for products </w:t>
            </w:r>
            <w:r w:rsidR="0055657C" w:rsidRPr="0055657C">
              <w:rPr>
                <w:sz w:val="16"/>
                <w:szCs w:val="16"/>
              </w:rPr>
              <w:t>significantly above 5000mg/100g</w:t>
            </w:r>
          </w:p>
        </w:tc>
        <w:tc>
          <w:tcPr>
            <w:tcW w:w="1986" w:type="dxa"/>
            <w:shd w:val="clear" w:color="auto" w:fill="auto"/>
          </w:tcPr>
          <w:p w14:paraId="1837B9DE" w14:textId="77777777" w:rsidR="00C06A59" w:rsidRPr="0055657C" w:rsidRDefault="00C06A59" w:rsidP="00DE5FE6">
            <w:pPr>
              <w:rPr>
                <w:sz w:val="16"/>
                <w:szCs w:val="16"/>
              </w:rPr>
            </w:pPr>
            <w:r w:rsidRPr="0055657C">
              <w:rPr>
                <w:sz w:val="16"/>
                <w:szCs w:val="16"/>
              </w:rPr>
              <w:t xml:space="preserve">Targets set Dec </w:t>
            </w:r>
            <w:proofErr w:type="gramStart"/>
            <w:r w:rsidRPr="0055657C">
              <w:rPr>
                <w:sz w:val="16"/>
                <w:szCs w:val="16"/>
              </w:rPr>
              <w:t>2017;</w:t>
            </w:r>
            <w:proofErr w:type="gramEnd"/>
          </w:p>
          <w:p w14:paraId="7DB5E19A" w14:textId="6EF148AA" w:rsidR="00C06A59" w:rsidRPr="0055657C" w:rsidRDefault="00FB5819" w:rsidP="00DE5FE6">
            <w:pPr>
              <w:rPr>
                <w:sz w:val="16"/>
                <w:szCs w:val="16"/>
              </w:rPr>
            </w:pPr>
            <w:r>
              <w:rPr>
                <w:sz w:val="16"/>
                <w:szCs w:val="16"/>
              </w:rPr>
              <w:t xml:space="preserve">Target review Dec 2022 </w:t>
            </w:r>
          </w:p>
        </w:tc>
        <w:tc>
          <w:tcPr>
            <w:tcW w:w="2925" w:type="dxa"/>
            <w:tcBorders>
              <w:top w:val="nil"/>
              <w:left w:val="nil"/>
              <w:bottom w:val="single" w:sz="6" w:space="0" w:color="auto"/>
              <w:right w:val="single" w:sz="6" w:space="0" w:color="auto"/>
            </w:tcBorders>
            <w:shd w:val="clear" w:color="auto" w:fill="auto"/>
          </w:tcPr>
          <w:p w14:paraId="459CC981" w14:textId="77777777" w:rsidR="00C06A59" w:rsidRPr="0055657C" w:rsidRDefault="00C06A59" w:rsidP="00DE5FE6">
            <w:pPr>
              <w:rPr>
                <w:sz w:val="16"/>
                <w:szCs w:val="16"/>
              </w:rPr>
            </w:pPr>
            <w:r w:rsidRPr="0055657C">
              <w:rPr>
                <w:rStyle w:val="normaltextrun"/>
                <w:sz w:val="16"/>
                <w:szCs w:val="16"/>
              </w:rPr>
              <w:t>Interim highlight (as at 2019): One major company has 100% compliance (n=12 products).</w:t>
            </w:r>
            <w:r w:rsidRPr="0055657C">
              <w:rPr>
                <w:rStyle w:val="eop"/>
                <w:sz w:val="16"/>
                <w:szCs w:val="16"/>
              </w:rPr>
              <w:t> </w:t>
            </w:r>
          </w:p>
        </w:tc>
      </w:tr>
      <w:tr w:rsidR="00C06A59" w:rsidRPr="00C06A59" w14:paraId="205E0168" w14:textId="77777777" w:rsidTr="00DE5FE6">
        <w:tc>
          <w:tcPr>
            <w:tcW w:w="1978" w:type="dxa"/>
          </w:tcPr>
          <w:p w14:paraId="1DAC80BC" w14:textId="77777777" w:rsidR="00C06A59" w:rsidRPr="0055657C" w:rsidRDefault="00C06A59" w:rsidP="00DE5FE6">
            <w:pPr>
              <w:rPr>
                <w:b/>
                <w:sz w:val="18"/>
                <w:szCs w:val="18"/>
              </w:rPr>
            </w:pPr>
            <w:r w:rsidRPr="0055657C">
              <w:rPr>
                <w:b/>
                <w:sz w:val="18"/>
                <w:szCs w:val="18"/>
              </w:rPr>
              <w:t>Edible Oil Spreads</w:t>
            </w:r>
          </w:p>
          <w:p w14:paraId="3477D94A" w14:textId="76E873F2" w:rsidR="00C06A59" w:rsidRPr="0055657C" w:rsidRDefault="0055657C" w:rsidP="00DE5FE6">
            <w:pPr>
              <w:rPr>
                <w:b/>
                <w:sz w:val="16"/>
                <w:szCs w:val="16"/>
              </w:rPr>
            </w:pPr>
            <w:r w:rsidRPr="0055657C">
              <w:rPr>
                <w:b/>
                <w:sz w:val="16"/>
                <w:szCs w:val="16"/>
              </w:rPr>
              <w:t>Margarine/oil-based spreads</w:t>
            </w:r>
          </w:p>
        </w:tc>
        <w:tc>
          <w:tcPr>
            <w:tcW w:w="2127" w:type="dxa"/>
          </w:tcPr>
          <w:p w14:paraId="74D7AC3E" w14:textId="77777777" w:rsidR="00C06A59" w:rsidRPr="0055657C" w:rsidRDefault="00C06A59" w:rsidP="00DE5FE6">
            <w:pPr>
              <w:rPr>
                <w:b/>
                <w:sz w:val="16"/>
                <w:szCs w:val="16"/>
              </w:rPr>
            </w:pPr>
            <w:r w:rsidRPr="0055657C">
              <w:rPr>
                <w:b/>
                <w:sz w:val="16"/>
                <w:szCs w:val="16"/>
              </w:rPr>
              <w:t xml:space="preserve">Sodium </w:t>
            </w:r>
          </w:p>
          <w:p w14:paraId="10F7C7DA" w14:textId="77777777" w:rsidR="00C06A59" w:rsidRPr="0055657C" w:rsidRDefault="00C06A59" w:rsidP="00DE5FE6">
            <w:pPr>
              <w:rPr>
                <w:sz w:val="16"/>
                <w:szCs w:val="16"/>
              </w:rPr>
            </w:pPr>
            <w:r w:rsidRPr="0055657C">
              <w:rPr>
                <w:sz w:val="16"/>
                <w:szCs w:val="16"/>
              </w:rPr>
              <w:t>400mg/100g</w:t>
            </w:r>
          </w:p>
        </w:tc>
        <w:tc>
          <w:tcPr>
            <w:tcW w:w="1986" w:type="dxa"/>
          </w:tcPr>
          <w:p w14:paraId="0CBABD75" w14:textId="77777777" w:rsidR="00C06A59" w:rsidRPr="0055657C" w:rsidRDefault="00C06A59" w:rsidP="00DE5FE6">
            <w:pPr>
              <w:rPr>
                <w:sz w:val="16"/>
                <w:szCs w:val="16"/>
              </w:rPr>
            </w:pPr>
            <w:r w:rsidRPr="0055657C">
              <w:rPr>
                <w:sz w:val="16"/>
                <w:szCs w:val="16"/>
              </w:rPr>
              <w:t xml:space="preserve">Target set </w:t>
            </w:r>
            <w:proofErr w:type="gramStart"/>
            <w:r w:rsidRPr="0055657C">
              <w:rPr>
                <w:sz w:val="16"/>
                <w:szCs w:val="16"/>
              </w:rPr>
              <w:t>2014;</w:t>
            </w:r>
            <w:proofErr w:type="gramEnd"/>
          </w:p>
          <w:p w14:paraId="4F98F40E" w14:textId="4C061DA5" w:rsidR="00C06A59" w:rsidRPr="0055657C" w:rsidRDefault="00C06A59" w:rsidP="00DE5FE6">
            <w:pPr>
              <w:rPr>
                <w:sz w:val="16"/>
                <w:szCs w:val="16"/>
              </w:rPr>
            </w:pPr>
            <w:r w:rsidRPr="0055657C">
              <w:rPr>
                <w:sz w:val="16"/>
                <w:szCs w:val="16"/>
              </w:rPr>
              <w:t>Review to be confirmed</w:t>
            </w:r>
          </w:p>
        </w:tc>
        <w:tc>
          <w:tcPr>
            <w:tcW w:w="2925" w:type="dxa"/>
            <w:tcBorders>
              <w:top w:val="nil"/>
              <w:left w:val="nil"/>
              <w:bottom w:val="single" w:sz="6" w:space="0" w:color="auto"/>
              <w:right w:val="single" w:sz="6" w:space="0" w:color="auto"/>
            </w:tcBorders>
            <w:shd w:val="clear" w:color="auto" w:fill="auto"/>
          </w:tcPr>
          <w:p w14:paraId="39D7A191" w14:textId="23B9A191" w:rsidR="00C06A59" w:rsidRPr="0055657C" w:rsidRDefault="00C06A59" w:rsidP="00DE5FE6">
            <w:pPr>
              <w:rPr>
                <w:sz w:val="16"/>
                <w:szCs w:val="16"/>
              </w:rPr>
            </w:pPr>
          </w:p>
        </w:tc>
      </w:tr>
      <w:tr w:rsidR="00C06A59" w:rsidRPr="00C06A59" w14:paraId="701C4B6F" w14:textId="77777777" w:rsidTr="00DE5FE6">
        <w:tc>
          <w:tcPr>
            <w:tcW w:w="1978" w:type="dxa"/>
            <w:shd w:val="clear" w:color="auto" w:fill="auto"/>
          </w:tcPr>
          <w:p w14:paraId="5168C26E" w14:textId="77777777" w:rsidR="00C06A59" w:rsidRPr="0055657C" w:rsidRDefault="00C06A59" w:rsidP="00DE5FE6">
            <w:pPr>
              <w:rPr>
                <w:b/>
                <w:sz w:val="18"/>
                <w:szCs w:val="18"/>
              </w:rPr>
            </w:pPr>
            <w:r w:rsidRPr="0055657C">
              <w:rPr>
                <w:b/>
                <w:sz w:val="18"/>
                <w:szCs w:val="18"/>
              </w:rPr>
              <w:t>Savoury Crackers</w:t>
            </w:r>
          </w:p>
          <w:p w14:paraId="2797D722" w14:textId="1BB5B220" w:rsidR="00C06A59" w:rsidRPr="0055657C" w:rsidRDefault="00C06A59" w:rsidP="00DE5FE6">
            <w:pPr>
              <w:rPr>
                <w:b/>
                <w:sz w:val="18"/>
                <w:szCs w:val="18"/>
              </w:rPr>
            </w:pPr>
          </w:p>
        </w:tc>
        <w:tc>
          <w:tcPr>
            <w:tcW w:w="2127" w:type="dxa"/>
            <w:shd w:val="clear" w:color="auto" w:fill="auto"/>
          </w:tcPr>
          <w:p w14:paraId="0724EB54" w14:textId="77777777" w:rsidR="00C06A59" w:rsidRPr="0055657C" w:rsidRDefault="00C06A59" w:rsidP="00DE5FE6">
            <w:pPr>
              <w:rPr>
                <w:b/>
                <w:sz w:val="16"/>
                <w:szCs w:val="16"/>
              </w:rPr>
            </w:pPr>
            <w:r w:rsidRPr="0055657C">
              <w:rPr>
                <w:b/>
                <w:sz w:val="16"/>
                <w:szCs w:val="16"/>
              </w:rPr>
              <w:t xml:space="preserve">Sodium </w:t>
            </w:r>
          </w:p>
          <w:p w14:paraId="55E1C242" w14:textId="77777777" w:rsidR="0055657C" w:rsidRPr="0055657C" w:rsidRDefault="0055657C" w:rsidP="0055657C">
            <w:pPr>
              <w:rPr>
                <w:b/>
                <w:sz w:val="16"/>
                <w:szCs w:val="16"/>
              </w:rPr>
            </w:pPr>
            <w:r w:rsidRPr="0055657C">
              <w:rPr>
                <w:b/>
                <w:sz w:val="16"/>
                <w:szCs w:val="16"/>
              </w:rPr>
              <w:t>Plain crackers</w:t>
            </w:r>
          </w:p>
          <w:p w14:paraId="7BDF1C2F" w14:textId="4F5F8F8C" w:rsidR="0055657C" w:rsidRPr="00FB5819" w:rsidRDefault="00FB5819" w:rsidP="0055657C">
            <w:pPr>
              <w:rPr>
                <w:sz w:val="16"/>
                <w:szCs w:val="16"/>
              </w:rPr>
            </w:pPr>
            <w:r>
              <w:rPr>
                <w:sz w:val="16"/>
                <w:szCs w:val="16"/>
              </w:rPr>
              <w:t>610mg/100g</w:t>
            </w:r>
          </w:p>
          <w:p w14:paraId="5B19A36E" w14:textId="23E90003" w:rsidR="0055657C" w:rsidRPr="0055657C" w:rsidRDefault="0055657C" w:rsidP="00DE5FE6">
            <w:pPr>
              <w:rPr>
                <w:b/>
                <w:sz w:val="16"/>
                <w:szCs w:val="16"/>
              </w:rPr>
            </w:pPr>
            <w:r w:rsidRPr="0055657C">
              <w:rPr>
                <w:b/>
                <w:sz w:val="16"/>
                <w:szCs w:val="16"/>
              </w:rPr>
              <w:t>Flavoured crackers</w:t>
            </w:r>
          </w:p>
          <w:p w14:paraId="64E51EC4" w14:textId="13A5CF98" w:rsidR="00C06A59" w:rsidRPr="0055657C" w:rsidRDefault="00C06A59" w:rsidP="00DE5FE6">
            <w:pPr>
              <w:rPr>
                <w:sz w:val="16"/>
                <w:szCs w:val="16"/>
              </w:rPr>
            </w:pPr>
            <w:r w:rsidRPr="0055657C">
              <w:rPr>
                <w:sz w:val="16"/>
                <w:szCs w:val="16"/>
              </w:rPr>
              <w:t>800mg/100g</w:t>
            </w:r>
          </w:p>
          <w:p w14:paraId="19F6F0C7" w14:textId="77777777" w:rsidR="0055657C" w:rsidRPr="0055657C" w:rsidRDefault="0055657C" w:rsidP="00DE5FE6">
            <w:pPr>
              <w:rPr>
                <w:b/>
                <w:sz w:val="16"/>
                <w:szCs w:val="16"/>
              </w:rPr>
            </w:pPr>
          </w:p>
          <w:p w14:paraId="4086CE41" w14:textId="56947FC8" w:rsidR="0055657C" w:rsidRPr="0055657C" w:rsidRDefault="0055657C" w:rsidP="00DE5FE6">
            <w:pPr>
              <w:rPr>
                <w:sz w:val="16"/>
                <w:szCs w:val="16"/>
              </w:rPr>
            </w:pPr>
            <w:r w:rsidRPr="0055657C">
              <w:rPr>
                <w:b/>
                <w:sz w:val="16"/>
                <w:szCs w:val="16"/>
              </w:rPr>
              <w:lastRenderedPageBreak/>
              <w:t>Rice crackers and corn crackers</w:t>
            </w:r>
          </w:p>
          <w:p w14:paraId="46906CF2" w14:textId="3D30384D" w:rsidR="0055657C" w:rsidRPr="0055657C" w:rsidRDefault="00FB5819" w:rsidP="00DE5FE6">
            <w:pPr>
              <w:rPr>
                <w:sz w:val="16"/>
                <w:szCs w:val="16"/>
              </w:rPr>
            </w:pPr>
            <w:r>
              <w:rPr>
                <w:sz w:val="16"/>
                <w:szCs w:val="16"/>
              </w:rPr>
              <w:t>610mg/100g</w:t>
            </w:r>
          </w:p>
          <w:p w14:paraId="008687EB" w14:textId="124D9D18" w:rsidR="00C06A59" w:rsidRPr="0055657C" w:rsidRDefault="00C06A59" w:rsidP="00DE5FE6">
            <w:pPr>
              <w:rPr>
                <w:sz w:val="16"/>
                <w:szCs w:val="16"/>
              </w:rPr>
            </w:pPr>
            <w:r w:rsidRPr="0055657C">
              <w:rPr>
                <w:sz w:val="16"/>
                <w:szCs w:val="16"/>
              </w:rPr>
              <w:t>OR</w:t>
            </w:r>
          </w:p>
          <w:p w14:paraId="0EFADC38" w14:textId="3F369BFA" w:rsidR="00C06A59" w:rsidRPr="0055657C" w:rsidRDefault="00C06A59" w:rsidP="00DE5FE6">
            <w:pPr>
              <w:rPr>
                <w:sz w:val="16"/>
                <w:szCs w:val="16"/>
              </w:rPr>
            </w:pPr>
            <w:r w:rsidRPr="0055657C">
              <w:rPr>
                <w:sz w:val="16"/>
                <w:szCs w:val="16"/>
              </w:rPr>
              <w:t>20% reduction for products significantly ab</w:t>
            </w:r>
            <w:r w:rsidR="00FB5819">
              <w:rPr>
                <w:sz w:val="16"/>
                <w:szCs w:val="16"/>
              </w:rPr>
              <w:t>ove targets</w:t>
            </w:r>
          </w:p>
        </w:tc>
        <w:tc>
          <w:tcPr>
            <w:tcW w:w="1986" w:type="dxa"/>
            <w:shd w:val="clear" w:color="auto" w:fill="auto"/>
          </w:tcPr>
          <w:p w14:paraId="48DF1BA5" w14:textId="77777777" w:rsidR="00C06A59" w:rsidRPr="0055657C" w:rsidRDefault="00C06A59" w:rsidP="00DE5FE6">
            <w:pPr>
              <w:rPr>
                <w:sz w:val="16"/>
                <w:szCs w:val="16"/>
              </w:rPr>
            </w:pPr>
            <w:r w:rsidRPr="0055657C">
              <w:rPr>
                <w:sz w:val="16"/>
                <w:szCs w:val="16"/>
              </w:rPr>
              <w:lastRenderedPageBreak/>
              <w:t xml:space="preserve">Targets reset </w:t>
            </w:r>
            <w:proofErr w:type="gramStart"/>
            <w:r w:rsidRPr="0055657C">
              <w:rPr>
                <w:sz w:val="16"/>
                <w:szCs w:val="16"/>
              </w:rPr>
              <w:t>2017;</w:t>
            </w:r>
            <w:proofErr w:type="gramEnd"/>
            <w:r w:rsidRPr="0055657C">
              <w:rPr>
                <w:sz w:val="16"/>
                <w:szCs w:val="16"/>
              </w:rPr>
              <w:t xml:space="preserve"> </w:t>
            </w:r>
          </w:p>
          <w:p w14:paraId="21E61FFD" w14:textId="750B39B9" w:rsidR="00C06A59" w:rsidRPr="0055657C" w:rsidRDefault="00C06A59" w:rsidP="00DE5FE6">
            <w:pPr>
              <w:rPr>
                <w:sz w:val="16"/>
                <w:szCs w:val="16"/>
              </w:rPr>
            </w:pPr>
            <w:r w:rsidRPr="0055657C">
              <w:rPr>
                <w:sz w:val="16"/>
                <w:szCs w:val="16"/>
              </w:rPr>
              <w:t xml:space="preserve">Target review June 2022 </w:t>
            </w:r>
          </w:p>
        </w:tc>
        <w:tc>
          <w:tcPr>
            <w:tcW w:w="2925" w:type="dxa"/>
            <w:tcBorders>
              <w:top w:val="nil"/>
              <w:left w:val="nil"/>
              <w:bottom w:val="single" w:sz="6" w:space="0" w:color="auto"/>
              <w:right w:val="single" w:sz="6" w:space="0" w:color="auto"/>
            </w:tcBorders>
            <w:shd w:val="clear" w:color="auto" w:fill="auto"/>
          </w:tcPr>
          <w:p w14:paraId="27FB727C" w14:textId="3F05CE8D" w:rsidR="00C06A59" w:rsidRPr="0055657C" w:rsidRDefault="00C06A59" w:rsidP="00DE5FE6">
            <w:pPr>
              <w:pStyle w:val="paragraph"/>
              <w:spacing w:before="0" w:beforeAutospacing="0" w:after="0" w:afterAutospacing="0"/>
              <w:textAlignment w:val="baseline"/>
              <w:rPr>
                <w:sz w:val="18"/>
                <w:szCs w:val="18"/>
              </w:rPr>
            </w:pPr>
            <w:r w:rsidRPr="0055657C">
              <w:rPr>
                <w:rStyle w:val="normaltextrun"/>
                <w:rFonts w:eastAsiaTheme="majorEastAsia"/>
                <w:sz w:val="16"/>
                <w:szCs w:val="16"/>
              </w:rPr>
              <w:t>2014: Targets set</w:t>
            </w:r>
            <w:r w:rsidRPr="0055657C">
              <w:rPr>
                <w:rStyle w:val="eop"/>
                <w:rFonts w:eastAsiaTheme="majorEastAsia"/>
                <w:sz w:val="16"/>
                <w:szCs w:val="16"/>
              </w:rPr>
              <w:t> </w:t>
            </w:r>
          </w:p>
          <w:p w14:paraId="3495B8DF" w14:textId="66BABA36" w:rsidR="00C06A59" w:rsidRPr="0055657C" w:rsidRDefault="00C06A59" w:rsidP="00DE5FE6">
            <w:pPr>
              <w:pStyle w:val="paragraph"/>
              <w:spacing w:before="0" w:beforeAutospacing="0" w:after="0" w:afterAutospacing="0"/>
              <w:textAlignment w:val="baseline"/>
              <w:rPr>
                <w:sz w:val="18"/>
                <w:szCs w:val="18"/>
              </w:rPr>
            </w:pPr>
            <w:r w:rsidRPr="0055657C">
              <w:rPr>
                <w:rStyle w:val="normaltextrun"/>
                <w:rFonts w:eastAsiaTheme="majorEastAsia"/>
                <w:sz w:val="16"/>
                <w:szCs w:val="16"/>
              </w:rPr>
              <w:t>2016 review: 10.5% reduc</w:t>
            </w:r>
            <w:r w:rsidR="004B0842" w:rsidRPr="0055657C">
              <w:rPr>
                <w:rStyle w:val="normaltextrun"/>
                <w:rFonts w:eastAsiaTheme="majorEastAsia"/>
                <w:sz w:val="16"/>
                <w:szCs w:val="16"/>
              </w:rPr>
              <w:t>tion in category median sodium.</w:t>
            </w:r>
            <w:r w:rsidRPr="0055657C">
              <w:rPr>
                <w:rStyle w:val="normaltextrun"/>
                <w:rFonts w:eastAsiaTheme="majorEastAsia"/>
                <w:sz w:val="16"/>
                <w:szCs w:val="16"/>
              </w:rPr>
              <w:t xml:space="preserve"> 7.2 tonnes salt removed from reformulation of matched pairs. 77% (by sales volume) of the top-selling 40 </w:t>
            </w:r>
            <w:r w:rsidR="004B0842" w:rsidRPr="0055657C">
              <w:rPr>
                <w:rStyle w:val="normaltextrun"/>
                <w:rFonts w:eastAsiaTheme="majorEastAsia"/>
                <w:sz w:val="16"/>
                <w:szCs w:val="16"/>
              </w:rPr>
              <w:t>products met the 2014 targets.</w:t>
            </w:r>
          </w:p>
          <w:p w14:paraId="72EFAF12" w14:textId="2E58B4A2" w:rsidR="00C06A59" w:rsidRPr="00182B73" w:rsidRDefault="00C06A59" w:rsidP="00182B73">
            <w:pPr>
              <w:pStyle w:val="paragraph"/>
              <w:spacing w:before="0" w:beforeAutospacing="0" w:after="0" w:afterAutospacing="0"/>
              <w:textAlignment w:val="baseline"/>
              <w:rPr>
                <w:sz w:val="18"/>
                <w:szCs w:val="18"/>
              </w:rPr>
            </w:pPr>
            <w:r w:rsidRPr="0055657C">
              <w:rPr>
                <w:rStyle w:val="normaltextrun"/>
                <w:rFonts w:eastAsiaTheme="majorEastAsia"/>
                <w:sz w:val="16"/>
                <w:szCs w:val="16"/>
              </w:rPr>
              <w:t>Interim highlight (since 2017): one company compliance to new targets has increased from 53% to 74%.</w:t>
            </w:r>
          </w:p>
        </w:tc>
      </w:tr>
      <w:tr w:rsidR="00C06A59" w:rsidRPr="00C06A59" w14:paraId="25374713" w14:textId="77777777" w:rsidTr="00DE5FE6">
        <w:tc>
          <w:tcPr>
            <w:tcW w:w="1978" w:type="dxa"/>
          </w:tcPr>
          <w:p w14:paraId="0886D1F2" w14:textId="77777777" w:rsidR="00C06A59" w:rsidRPr="0055657C" w:rsidRDefault="00C06A59" w:rsidP="00DE5FE6">
            <w:pPr>
              <w:rPr>
                <w:b/>
                <w:sz w:val="18"/>
                <w:szCs w:val="18"/>
              </w:rPr>
            </w:pPr>
            <w:r w:rsidRPr="0055657C">
              <w:rPr>
                <w:b/>
                <w:sz w:val="18"/>
                <w:szCs w:val="18"/>
              </w:rPr>
              <w:t>Table Sauce</w:t>
            </w:r>
          </w:p>
          <w:p w14:paraId="3730E4B1" w14:textId="77777777" w:rsidR="00C06A59" w:rsidRPr="0055657C" w:rsidRDefault="00C06A59" w:rsidP="00DE5FE6">
            <w:pPr>
              <w:rPr>
                <w:b/>
                <w:sz w:val="16"/>
                <w:szCs w:val="16"/>
              </w:rPr>
            </w:pPr>
            <w:r w:rsidRPr="0055657C">
              <w:rPr>
                <w:b/>
                <w:sz w:val="16"/>
                <w:szCs w:val="16"/>
              </w:rPr>
              <w:t xml:space="preserve">Tomato Sauce </w:t>
            </w:r>
          </w:p>
          <w:p w14:paraId="69C2217B" w14:textId="77777777" w:rsidR="00C06A59" w:rsidRPr="0055657C" w:rsidRDefault="00C06A59" w:rsidP="00DE5FE6">
            <w:pPr>
              <w:rPr>
                <w:b/>
                <w:sz w:val="18"/>
                <w:szCs w:val="18"/>
              </w:rPr>
            </w:pPr>
          </w:p>
        </w:tc>
        <w:tc>
          <w:tcPr>
            <w:tcW w:w="2127" w:type="dxa"/>
          </w:tcPr>
          <w:p w14:paraId="578B5AF3" w14:textId="77777777" w:rsidR="00C06A59" w:rsidRPr="0055657C" w:rsidRDefault="00C06A59" w:rsidP="00DE5FE6">
            <w:pPr>
              <w:rPr>
                <w:sz w:val="16"/>
                <w:szCs w:val="16"/>
              </w:rPr>
            </w:pPr>
            <w:r w:rsidRPr="0055657C">
              <w:rPr>
                <w:b/>
                <w:sz w:val="16"/>
                <w:szCs w:val="16"/>
              </w:rPr>
              <w:t xml:space="preserve">Sodium </w:t>
            </w:r>
          </w:p>
          <w:p w14:paraId="14265DD1" w14:textId="437D9452" w:rsidR="00C06A59" w:rsidRPr="0055657C" w:rsidRDefault="00C06A59" w:rsidP="00DE5FE6">
            <w:pPr>
              <w:rPr>
                <w:sz w:val="16"/>
                <w:szCs w:val="16"/>
              </w:rPr>
            </w:pPr>
            <w:r w:rsidRPr="0055657C">
              <w:rPr>
                <w:sz w:val="16"/>
                <w:szCs w:val="16"/>
              </w:rPr>
              <w:t>680mg/100g OR 15% reduction for t</w:t>
            </w:r>
            <w:r w:rsidR="00FB5819">
              <w:rPr>
                <w:sz w:val="16"/>
                <w:szCs w:val="16"/>
              </w:rPr>
              <w:t>hose significantly above target</w:t>
            </w:r>
          </w:p>
          <w:p w14:paraId="1EE9E136" w14:textId="77777777" w:rsidR="00C06A59" w:rsidRPr="0055657C" w:rsidRDefault="00C06A59" w:rsidP="00DE5FE6">
            <w:pPr>
              <w:rPr>
                <w:sz w:val="16"/>
                <w:szCs w:val="16"/>
              </w:rPr>
            </w:pPr>
            <w:r w:rsidRPr="0055657C">
              <w:rPr>
                <w:b/>
                <w:sz w:val="16"/>
                <w:szCs w:val="16"/>
              </w:rPr>
              <w:t>Total Sugar</w:t>
            </w:r>
            <w:r w:rsidRPr="0055657C">
              <w:rPr>
                <w:sz w:val="16"/>
                <w:szCs w:val="16"/>
              </w:rPr>
              <w:t xml:space="preserve"> </w:t>
            </w:r>
          </w:p>
          <w:p w14:paraId="59AC794D" w14:textId="4AA464C5" w:rsidR="00C06A59" w:rsidRPr="0055657C" w:rsidRDefault="00C06A59" w:rsidP="00DE5FE6">
            <w:pPr>
              <w:rPr>
                <w:sz w:val="16"/>
                <w:szCs w:val="16"/>
              </w:rPr>
            </w:pPr>
            <w:r w:rsidRPr="0055657C">
              <w:rPr>
                <w:sz w:val="16"/>
                <w:szCs w:val="16"/>
              </w:rPr>
              <w:t>23g/100g OR 15% reduction for prod</w:t>
            </w:r>
            <w:r w:rsidR="00FB5819">
              <w:rPr>
                <w:sz w:val="16"/>
                <w:szCs w:val="16"/>
              </w:rPr>
              <w:t>ucts significantly above target</w:t>
            </w:r>
          </w:p>
        </w:tc>
        <w:tc>
          <w:tcPr>
            <w:tcW w:w="1986" w:type="dxa"/>
          </w:tcPr>
          <w:p w14:paraId="48B65E82" w14:textId="77777777" w:rsidR="00C06A59" w:rsidRPr="0055657C" w:rsidRDefault="00C06A59" w:rsidP="00DE5FE6">
            <w:pPr>
              <w:rPr>
                <w:sz w:val="16"/>
                <w:szCs w:val="16"/>
              </w:rPr>
            </w:pPr>
            <w:r w:rsidRPr="0055657C">
              <w:rPr>
                <w:sz w:val="16"/>
                <w:szCs w:val="16"/>
              </w:rPr>
              <w:t xml:space="preserve">Targets set May </w:t>
            </w:r>
            <w:proofErr w:type="gramStart"/>
            <w:r w:rsidRPr="0055657C">
              <w:rPr>
                <w:sz w:val="16"/>
                <w:szCs w:val="16"/>
              </w:rPr>
              <w:t>2016;</w:t>
            </w:r>
            <w:proofErr w:type="gramEnd"/>
            <w:r w:rsidRPr="0055657C">
              <w:rPr>
                <w:sz w:val="16"/>
                <w:szCs w:val="16"/>
              </w:rPr>
              <w:t xml:space="preserve"> </w:t>
            </w:r>
          </w:p>
          <w:p w14:paraId="17546B69" w14:textId="77777777" w:rsidR="00C06A59" w:rsidRPr="0055657C" w:rsidRDefault="00C06A59" w:rsidP="00DE5FE6">
            <w:pPr>
              <w:rPr>
                <w:sz w:val="16"/>
                <w:szCs w:val="16"/>
              </w:rPr>
            </w:pPr>
            <w:r w:rsidRPr="0055657C">
              <w:rPr>
                <w:sz w:val="16"/>
                <w:szCs w:val="16"/>
              </w:rPr>
              <w:t>target review May 2021</w:t>
            </w:r>
          </w:p>
        </w:tc>
        <w:tc>
          <w:tcPr>
            <w:tcW w:w="2925" w:type="dxa"/>
            <w:tcBorders>
              <w:top w:val="nil"/>
              <w:left w:val="nil"/>
              <w:bottom w:val="single" w:sz="6" w:space="0" w:color="auto"/>
              <w:right w:val="single" w:sz="6" w:space="0" w:color="auto"/>
            </w:tcBorders>
            <w:shd w:val="clear" w:color="auto" w:fill="auto"/>
          </w:tcPr>
          <w:p w14:paraId="1CA947E1" w14:textId="77777777" w:rsidR="00C06A59" w:rsidRPr="0055657C" w:rsidRDefault="00C06A59" w:rsidP="00DE5FE6">
            <w:pPr>
              <w:rPr>
                <w:sz w:val="16"/>
                <w:szCs w:val="16"/>
              </w:rPr>
            </w:pPr>
            <w:r w:rsidRPr="0055657C">
              <w:rPr>
                <w:rStyle w:val="eop"/>
                <w:sz w:val="16"/>
                <w:szCs w:val="16"/>
              </w:rPr>
              <w:t> </w:t>
            </w:r>
          </w:p>
        </w:tc>
      </w:tr>
      <w:tr w:rsidR="00C06A59" w:rsidRPr="00C06A59" w14:paraId="64FC7478" w14:textId="77777777" w:rsidTr="00DE5FE6">
        <w:tc>
          <w:tcPr>
            <w:tcW w:w="1978" w:type="dxa"/>
          </w:tcPr>
          <w:p w14:paraId="54AE708E" w14:textId="77777777" w:rsidR="00C06A59" w:rsidRPr="0055657C" w:rsidRDefault="00C06A59" w:rsidP="00DE5FE6">
            <w:pPr>
              <w:rPr>
                <w:b/>
                <w:sz w:val="18"/>
                <w:szCs w:val="18"/>
              </w:rPr>
            </w:pPr>
            <w:r w:rsidRPr="0055657C">
              <w:rPr>
                <w:b/>
                <w:sz w:val="18"/>
                <w:szCs w:val="18"/>
              </w:rPr>
              <w:t>Canned Baked Beans</w:t>
            </w:r>
          </w:p>
          <w:p w14:paraId="4320CA75" w14:textId="77777777" w:rsidR="00C06A59" w:rsidRPr="0055657C" w:rsidRDefault="00C06A59" w:rsidP="00DE5FE6">
            <w:pPr>
              <w:rPr>
                <w:b/>
                <w:sz w:val="18"/>
                <w:szCs w:val="18"/>
              </w:rPr>
            </w:pPr>
          </w:p>
        </w:tc>
        <w:tc>
          <w:tcPr>
            <w:tcW w:w="2127" w:type="dxa"/>
          </w:tcPr>
          <w:p w14:paraId="5C03C04C" w14:textId="77777777" w:rsidR="00C06A59" w:rsidRPr="0055657C" w:rsidRDefault="00C06A59" w:rsidP="00DE5FE6">
            <w:pPr>
              <w:rPr>
                <w:b/>
                <w:sz w:val="16"/>
                <w:szCs w:val="16"/>
              </w:rPr>
            </w:pPr>
            <w:r w:rsidRPr="0055657C">
              <w:rPr>
                <w:b/>
                <w:sz w:val="16"/>
                <w:szCs w:val="16"/>
              </w:rPr>
              <w:t xml:space="preserve">Sodium </w:t>
            </w:r>
          </w:p>
          <w:p w14:paraId="4F8C57DF" w14:textId="7B99192C" w:rsidR="00C06A59" w:rsidRPr="0055657C" w:rsidRDefault="00FB5819" w:rsidP="00DE5FE6">
            <w:pPr>
              <w:rPr>
                <w:sz w:val="16"/>
                <w:szCs w:val="16"/>
              </w:rPr>
            </w:pPr>
            <w:r>
              <w:rPr>
                <w:sz w:val="16"/>
                <w:szCs w:val="16"/>
              </w:rPr>
              <w:t xml:space="preserve">350mg sodium/100g </w:t>
            </w:r>
          </w:p>
          <w:p w14:paraId="5613E65E" w14:textId="77777777" w:rsidR="00C06A59" w:rsidRPr="0055657C" w:rsidRDefault="00C06A59" w:rsidP="00DE5FE6">
            <w:pPr>
              <w:rPr>
                <w:b/>
                <w:sz w:val="16"/>
                <w:szCs w:val="16"/>
              </w:rPr>
            </w:pPr>
            <w:r w:rsidRPr="0055657C">
              <w:rPr>
                <w:b/>
                <w:sz w:val="16"/>
                <w:szCs w:val="16"/>
              </w:rPr>
              <w:t xml:space="preserve">Total Sugar </w:t>
            </w:r>
          </w:p>
          <w:p w14:paraId="57473D86" w14:textId="4A7F230F" w:rsidR="00C06A59" w:rsidRPr="0055657C" w:rsidRDefault="00FB5819" w:rsidP="00DE5FE6">
            <w:pPr>
              <w:rPr>
                <w:sz w:val="16"/>
                <w:szCs w:val="16"/>
              </w:rPr>
            </w:pPr>
            <w:r>
              <w:rPr>
                <w:sz w:val="16"/>
                <w:szCs w:val="16"/>
              </w:rPr>
              <w:t>5g sugar/100g</w:t>
            </w:r>
          </w:p>
        </w:tc>
        <w:tc>
          <w:tcPr>
            <w:tcW w:w="1986" w:type="dxa"/>
          </w:tcPr>
          <w:p w14:paraId="63102C7F" w14:textId="77777777" w:rsidR="00C06A59" w:rsidRPr="0055657C" w:rsidRDefault="00C06A59" w:rsidP="00DE5FE6">
            <w:pPr>
              <w:rPr>
                <w:sz w:val="16"/>
                <w:szCs w:val="16"/>
              </w:rPr>
            </w:pPr>
            <w:r w:rsidRPr="0055657C">
              <w:rPr>
                <w:sz w:val="16"/>
                <w:szCs w:val="16"/>
              </w:rPr>
              <w:t xml:space="preserve">Targets set May </w:t>
            </w:r>
            <w:proofErr w:type="gramStart"/>
            <w:r w:rsidRPr="0055657C">
              <w:rPr>
                <w:sz w:val="16"/>
                <w:szCs w:val="16"/>
              </w:rPr>
              <w:t>2016;</w:t>
            </w:r>
            <w:proofErr w:type="gramEnd"/>
            <w:r w:rsidRPr="0055657C">
              <w:rPr>
                <w:sz w:val="16"/>
                <w:szCs w:val="16"/>
              </w:rPr>
              <w:t xml:space="preserve"> </w:t>
            </w:r>
          </w:p>
          <w:p w14:paraId="7E87F6C6" w14:textId="77777777" w:rsidR="00C06A59" w:rsidRPr="0055657C" w:rsidRDefault="00C06A59" w:rsidP="00DE5FE6">
            <w:pPr>
              <w:rPr>
                <w:sz w:val="16"/>
                <w:szCs w:val="16"/>
              </w:rPr>
            </w:pPr>
            <w:r w:rsidRPr="0055657C">
              <w:rPr>
                <w:sz w:val="16"/>
                <w:szCs w:val="16"/>
              </w:rPr>
              <w:t>target review May 2021</w:t>
            </w:r>
          </w:p>
        </w:tc>
        <w:tc>
          <w:tcPr>
            <w:tcW w:w="2925" w:type="dxa"/>
            <w:tcBorders>
              <w:top w:val="nil"/>
              <w:left w:val="nil"/>
              <w:bottom w:val="single" w:sz="6" w:space="0" w:color="auto"/>
              <w:right w:val="single" w:sz="6" w:space="0" w:color="auto"/>
            </w:tcBorders>
            <w:shd w:val="clear" w:color="auto" w:fill="auto"/>
          </w:tcPr>
          <w:p w14:paraId="11F4520D" w14:textId="245C7C53" w:rsidR="00C06A59" w:rsidRPr="00FB5819" w:rsidRDefault="00C06A59" w:rsidP="00FB5819">
            <w:pPr>
              <w:pStyle w:val="paragraph"/>
              <w:spacing w:before="0" w:beforeAutospacing="0" w:after="0" w:afterAutospacing="0"/>
              <w:textAlignment w:val="baseline"/>
              <w:rPr>
                <w:sz w:val="18"/>
                <w:szCs w:val="18"/>
              </w:rPr>
            </w:pPr>
            <w:r w:rsidRPr="0055657C">
              <w:rPr>
                <w:rStyle w:val="normaltextrun"/>
                <w:rFonts w:eastAsiaTheme="majorEastAsia"/>
                <w:sz w:val="16"/>
                <w:szCs w:val="16"/>
              </w:rPr>
              <w:t>Interim highlights: one new product achieved 50% less added sugar and 30% less sodium than standard product. Another company has 100% compliance for both sodium and sugar.</w:t>
            </w:r>
            <w:r w:rsidRPr="0055657C">
              <w:rPr>
                <w:rStyle w:val="eop"/>
                <w:rFonts w:eastAsiaTheme="majorEastAsia"/>
                <w:sz w:val="16"/>
                <w:szCs w:val="16"/>
              </w:rPr>
              <w:t> </w:t>
            </w:r>
          </w:p>
        </w:tc>
      </w:tr>
      <w:tr w:rsidR="00C06A59" w:rsidRPr="00C06A59" w14:paraId="68369004" w14:textId="77777777" w:rsidTr="003114A0">
        <w:tc>
          <w:tcPr>
            <w:tcW w:w="1978" w:type="dxa"/>
          </w:tcPr>
          <w:p w14:paraId="440CFED4" w14:textId="77777777" w:rsidR="00C06A59" w:rsidRPr="0055657C" w:rsidRDefault="00C06A59" w:rsidP="00DE5FE6">
            <w:pPr>
              <w:rPr>
                <w:b/>
                <w:sz w:val="18"/>
                <w:szCs w:val="18"/>
              </w:rPr>
            </w:pPr>
            <w:r w:rsidRPr="0055657C">
              <w:rPr>
                <w:b/>
                <w:sz w:val="18"/>
                <w:szCs w:val="18"/>
              </w:rPr>
              <w:t>Canned Spaghetti</w:t>
            </w:r>
          </w:p>
          <w:p w14:paraId="4198DFAF" w14:textId="77777777" w:rsidR="00C06A59" w:rsidRPr="0055657C" w:rsidRDefault="00C06A59" w:rsidP="00DE5FE6">
            <w:pPr>
              <w:rPr>
                <w:b/>
                <w:sz w:val="18"/>
                <w:szCs w:val="18"/>
              </w:rPr>
            </w:pPr>
          </w:p>
        </w:tc>
        <w:tc>
          <w:tcPr>
            <w:tcW w:w="2127" w:type="dxa"/>
          </w:tcPr>
          <w:p w14:paraId="20CA2028" w14:textId="77777777" w:rsidR="00C06A59" w:rsidRPr="0055657C" w:rsidRDefault="00C06A59" w:rsidP="00DE5FE6">
            <w:pPr>
              <w:rPr>
                <w:b/>
                <w:sz w:val="16"/>
                <w:szCs w:val="16"/>
              </w:rPr>
            </w:pPr>
            <w:r w:rsidRPr="0055657C">
              <w:rPr>
                <w:b/>
                <w:sz w:val="16"/>
                <w:szCs w:val="16"/>
              </w:rPr>
              <w:t xml:space="preserve">Sodium </w:t>
            </w:r>
          </w:p>
          <w:p w14:paraId="291D36AA" w14:textId="0707C748" w:rsidR="003114A0" w:rsidRPr="0055657C" w:rsidRDefault="003114A0" w:rsidP="00DE5FE6">
            <w:pPr>
              <w:rPr>
                <w:sz w:val="16"/>
                <w:szCs w:val="16"/>
              </w:rPr>
            </w:pPr>
            <w:r w:rsidRPr="0055657C">
              <w:rPr>
                <w:sz w:val="16"/>
                <w:szCs w:val="16"/>
              </w:rPr>
              <w:t xml:space="preserve">350mg/100g </w:t>
            </w:r>
          </w:p>
          <w:p w14:paraId="79C13607" w14:textId="77777777" w:rsidR="00C06A59" w:rsidRPr="0055657C" w:rsidRDefault="00C06A59" w:rsidP="00DE5FE6">
            <w:pPr>
              <w:rPr>
                <w:b/>
                <w:sz w:val="16"/>
                <w:szCs w:val="16"/>
              </w:rPr>
            </w:pPr>
            <w:r w:rsidRPr="0055657C">
              <w:rPr>
                <w:b/>
                <w:sz w:val="16"/>
                <w:szCs w:val="16"/>
              </w:rPr>
              <w:t>Total Sugar</w:t>
            </w:r>
          </w:p>
          <w:p w14:paraId="0AE2870E" w14:textId="4D9971DF" w:rsidR="00C06A59" w:rsidRPr="0055657C" w:rsidRDefault="00C06A59" w:rsidP="00DE5FE6">
            <w:pPr>
              <w:rPr>
                <w:sz w:val="16"/>
                <w:szCs w:val="16"/>
              </w:rPr>
            </w:pPr>
            <w:r w:rsidRPr="0055657C">
              <w:rPr>
                <w:sz w:val="16"/>
                <w:szCs w:val="16"/>
              </w:rPr>
              <w:t>4.5g/100g</w:t>
            </w:r>
          </w:p>
        </w:tc>
        <w:tc>
          <w:tcPr>
            <w:tcW w:w="1986" w:type="dxa"/>
            <w:tcBorders>
              <w:bottom w:val="single" w:sz="4" w:space="0" w:color="auto"/>
            </w:tcBorders>
          </w:tcPr>
          <w:p w14:paraId="2F63CC8C" w14:textId="77777777" w:rsidR="00C06A59" w:rsidRPr="0055657C" w:rsidRDefault="00C06A59" w:rsidP="00DE5FE6">
            <w:pPr>
              <w:rPr>
                <w:sz w:val="16"/>
                <w:szCs w:val="16"/>
              </w:rPr>
            </w:pPr>
            <w:r w:rsidRPr="0055657C">
              <w:rPr>
                <w:sz w:val="16"/>
                <w:szCs w:val="16"/>
              </w:rPr>
              <w:t xml:space="preserve">Targets set May </w:t>
            </w:r>
            <w:proofErr w:type="gramStart"/>
            <w:r w:rsidRPr="0055657C">
              <w:rPr>
                <w:sz w:val="16"/>
                <w:szCs w:val="16"/>
              </w:rPr>
              <w:t>2016;</w:t>
            </w:r>
            <w:proofErr w:type="gramEnd"/>
            <w:r w:rsidRPr="0055657C">
              <w:rPr>
                <w:sz w:val="16"/>
                <w:szCs w:val="16"/>
              </w:rPr>
              <w:t xml:space="preserve"> </w:t>
            </w:r>
          </w:p>
          <w:p w14:paraId="22AAF3FF" w14:textId="77777777" w:rsidR="00C06A59" w:rsidRPr="0055657C" w:rsidRDefault="00C06A59" w:rsidP="00DE5FE6">
            <w:pPr>
              <w:rPr>
                <w:sz w:val="16"/>
                <w:szCs w:val="16"/>
              </w:rPr>
            </w:pPr>
            <w:r w:rsidRPr="0055657C">
              <w:rPr>
                <w:sz w:val="16"/>
                <w:szCs w:val="16"/>
              </w:rPr>
              <w:t>Target review May 2021</w:t>
            </w:r>
          </w:p>
        </w:tc>
        <w:tc>
          <w:tcPr>
            <w:tcW w:w="2925" w:type="dxa"/>
            <w:tcBorders>
              <w:top w:val="nil"/>
              <w:left w:val="nil"/>
              <w:bottom w:val="single" w:sz="4" w:space="0" w:color="auto"/>
              <w:right w:val="single" w:sz="6" w:space="0" w:color="auto"/>
            </w:tcBorders>
            <w:shd w:val="clear" w:color="auto" w:fill="auto"/>
          </w:tcPr>
          <w:p w14:paraId="4A66E39B" w14:textId="29614CDF" w:rsidR="00C06A59" w:rsidRPr="00FB5819" w:rsidRDefault="00C06A59" w:rsidP="00FB5819">
            <w:pPr>
              <w:pStyle w:val="paragraph"/>
              <w:spacing w:before="0" w:beforeAutospacing="0" w:after="0" w:afterAutospacing="0"/>
              <w:textAlignment w:val="baseline"/>
              <w:rPr>
                <w:sz w:val="18"/>
                <w:szCs w:val="18"/>
              </w:rPr>
            </w:pPr>
            <w:r w:rsidRPr="0055657C">
              <w:rPr>
                <w:rStyle w:val="normaltextrun"/>
                <w:rFonts w:eastAsiaTheme="majorEastAsia"/>
                <w:sz w:val="16"/>
                <w:szCs w:val="16"/>
              </w:rPr>
              <w:t>Interim highlight: 2 major companies have 100% sodium compliance.</w:t>
            </w:r>
            <w:r w:rsidRPr="0055657C">
              <w:rPr>
                <w:rStyle w:val="eop"/>
                <w:rFonts w:eastAsiaTheme="majorEastAsia"/>
                <w:sz w:val="16"/>
                <w:szCs w:val="16"/>
              </w:rPr>
              <w:t> </w:t>
            </w:r>
          </w:p>
        </w:tc>
      </w:tr>
      <w:tr w:rsidR="00C06A59" w:rsidRPr="00C06A59" w14:paraId="45800F2C" w14:textId="77777777" w:rsidTr="003114A0">
        <w:tc>
          <w:tcPr>
            <w:tcW w:w="1978" w:type="dxa"/>
            <w:shd w:val="clear" w:color="auto" w:fill="auto"/>
          </w:tcPr>
          <w:p w14:paraId="103FDA13" w14:textId="77777777" w:rsidR="00C06A59" w:rsidRPr="0055657C" w:rsidRDefault="00C06A59" w:rsidP="00DE5FE6">
            <w:pPr>
              <w:rPr>
                <w:b/>
                <w:sz w:val="18"/>
                <w:szCs w:val="18"/>
              </w:rPr>
            </w:pPr>
            <w:r w:rsidRPr="0055657C">
              <w:rPr>
                <w:b/>
                <w:sz w:val="18"/>
                <w:szCs w:val="18"/>
              </w:rPr>
              <w:t>Cereal and Nut/Seed Bars</w:t>
            </w:r>
          </w:p>
          <w:p w14:paraId="7C9DBE99" w14:textId="18024F87" w:rsidR="00C06A59" w:rsidRPr="0055657C" w:rsidRDefault="00C06A59" w:rsidP="00DE5FE6">
            <w:pPr>
              <w:rPr>
                <w:b/>
                <w:sz w:val="18"/>
                <w:szCs w:val="18"/>
              </w:rPr>
            </w:pPr>
          </w:p>
        </w:tc>
        <w:tc>
          <w:tcPr>
            <w:tcW w:w="2127" w:type="dxa"/>
            <w:shd w:val="clear" w:color="auto" w:fill="auto"/>
          </w:tcPr>
          <w:p w14:paraId="4AA60086" w14:textId="77777777" w:rsidR="00C06A59" w:rsidRPr="0055657C" w:rsidRDefault="00C06A59" w:rsidP="00DE5FE6">
            <w:pPr>
              <w:rPr>
                <w:b/>
                <w:sz w:val="16"/>
                <w:szCs w:val="16"/>
              </w:rPr>
            </w:pPr>
            <w:r w:rsidRPr="0055657C">
              <w:rPr>
                <w:b/>
                <w:sz w:val="16"/>
                <w:szCs w:val="16"/>
              </w:rPr>
              <w:t xml:space="preserve">Total Sugar </w:t>
            </w:r>
          </w:p>
          <w:p w14:paraId="01D88BFA" w14:textId="3E56012F" w:rsidR="00C06A59" w:rsidRPr="0055657C" w:rsidRDefault="00C06A59" w:rsidP="00DE5FE6">
            <w:pPr>
              <w:rPr>
                <w:sz w:val="16"/>
                <w:szCs w:val="16"/>
              </w:rPr>
            </w:pPr>
            <w:r w:rsidRPr="0055657C">
              <w:rPr>
                <w:sz w:val="16"/>
                <w:szCs w:val="16"/>
              </w:rPr>
              <w:t>25g/100g OR 15% reduction for prod</w:t>
            </w:r>
            <w:r w:rsidR="00FB5819">
              <w:rPr>
                <w:sz w:val="16"/>
                <w:szCs w:val="16"/>
              </w:rPr>
              <w:t>ucts significantly above target</w:t>
            </w:r>
          </w:p>
        </w:tc>
        <w:tc>
          <w:tcPr>
            <w:tcW w:w="1986" w:type="dxa"/>
            <w:tcBorders>
              <w:top w:val="single" w:sz="4" w:space="0" w:color="auto"/>
              <w:bottom w:val="single" w:sz="4" w:space="0" w:color="auto"/>
            </w:tcBorders>
            <w:shd w:val="clear" w:color="auto" w:fill="auto"/>
          </w:tcPr>
          <w:p w14:paraId="6B7EB2E2" w14:textId="77777777" w:rsidR="00C06A59" w:rsidRPr="0055657C" w:rsidRDefault="00C06A59" w:rsidP="00DE5FE6">
            <w:pPr>
              <w:rPr>
                <w:sz w:val="16"/>
                <w:szCs w:val="16"/>
              </w:rPr>
            </w:pPr>
            <w:r w:rsidRPr="0055657C">
              <w:rPr>
                <w:sz w:val="16"/>
                <w:szCs w:val="16"/>
              </w:rPr>
              <w:t xml:space="preserve">Target set May </w:t>
            </w:r>
            <w:proofErr w:type="gramStart"/>
            <w:r w:rsidRPr="0055657C">
              <w:rPr>
                <w:sz w:val="16"/>
                <w:szCs w:val="16"/>
              </w:rPr>
              <w:t>2017;</w:t>
            </w:r>
            <w:proofErr w:type="gramEnd"/>
            <w:r w:rsidRPr="0055657C">
              <w:rPr>
                <w:sz w:val="16"/>
                <w:szCs w:val="16"/>
              </w:rPr>
              <w:t xml:space="preserve"> </w:t>
            </w:r>
          </w:p>
          <w:p w14:paraId="76A189BA" w14:textId="77777777" w:rsidR="00C06A59" w:rsidRPr="0055657C" w:rsidRDefault="00C06A59" w:rsidP="00DE5FE6">
            <w:pPr>
              <w:rPr>
                <w:sz w:val="16"/>
                <w:szCs w:val="16"/>
              </w:rPr>
            </w:pPr>
            <w:r w:rsidRPr="0055657C">
              <w:rPr>
                <w:sz w:val="16"/>
                <w:szCs w:val="16"/>
              </w:rPr>
              <w:t>Target review May 2022</w:t>
            </w:r>
          </w:p>
        </w:tc>
        <w:tc>
          <w:tcPr>
            <w:tcW w:w="2925" w:type="dxa"/>
            <w:tcBorders>
              <w:top w:val="single" w:sz="4" w:space="0" w:color="auto"/>
              <w:left w:val="nil"/>
              <w:bottom w:val="single" w:sz="4" w:space="0" w:color="auto"/>
              <w:right w:val="single" w:sz="4" w:space="0" w:color="auto"/>
            </w:tcBorders>
            <w:shd w:val="clear" w:color="auto" w:fill="auto"/>
          </w:tcPr>
          <w:p w14:paraId="272B5C48" w14:textId="62DFF538" w:rsidR="00C06A59" w:rsidRPr="0055657C" w:rsidRDefault="00C06A59" w:rsidP="0055657C">
            <w:pPr>
              <w:pStyle w:val="paragraph"/>
              <w:spacing w:before="0" w:beforeAutospacing="0" w:after="0" w:afterAutospacing="0"/>
              <w:textAlignment w:val="baseline"/>
              <w:rPr>
                <w:sz w:val="18"/>
                <w:szCs w:val="18"/>
              </w:rPr>
            </w:pPr>
            <w:r w:rsidRPr="0055657C">
              <w:rPr>
                <w:rStyle w:val="normaltextrun"/>
                <w:rFonts w:eastAsiaTheme="majorEastAsia"/>
                <w:sz w:val="16"/>
                <w:szCs w:val="16"/>
              </w:rPr>
              <w:t>Interim highlight (2020): One major company (n=39 products) compliance increased from 40% at baseline to 85%</w:t>
            </w:r>
            <w:r w:rsidR="00A26BB3" w:rsidRPr="0055657C">
              <w:rPr>
                <w:rStyle w:val="normaltextrun"/>
                <w:rFonts w:eastAsiaTheme="majorEastAsia"/>
                <w:sz w:val="16"/>
                <w:szCs w:val="16"/>
              </w:rPr>
              <w:t>; 16</w:t>
            </w:r>
            <w:r w:rsidRPr="0055657C">
              <w:rPr>
                <w:rStyle w:val="normaltextrun"/>
                <w:rFonts w:eastAsiaTheme="majorEastAsia"/>
                <w:sz w:val="16"/>
                <w:szCs w:val="16"/>
              </w:rPr>
              <w:t xml:space="preserve"> products reformulated achieving 27% median sugar reduction.</w:t>
            </w:r>
            <w:r w:rsidRPr="0055657C">
              <w:rPr>
                <w:rStyle w:val="eop"/>
                <w:rFonts w:eastAsiaTheme="majorEastAsia"/>
                <w:sz w:val="16"/>
                <w:szCs w:val="16"/>
              </w:rPr>
              <w:t> </w:t>
            </w:r>
          </w:p>
        </w:tc>
      </w:tr>
      <w:tr w:rsidR="00C06A59" w:rsidRPr="00C06A59" w14:paraId="39D82800" w14:textId="77777777" w:rsidTr="003114A0">
        <w:tc>
          <w:tcPr>
            <w:tcW w:w="1978" w:type="dxa"/>
            <w:shd w:val="clear" w:color="auto" w:fill="auto"/>
          </w:tcPr>
          <w:p w14:paraId="3D12515A" w14:textId="1FEDB921" w:rsidR="00C06A59" w:rsidRPr="0055657C" w:rsidRDefault="00FB5819" w:rsidP="00DE5FE6">
            <w:pPr>
              <w:rPr>
                <w:b/>
                <w:sz w:val="18"/>
                <w:szCs w:val="18"/>
              </w:rPr>
            </w:pPr>
            <w:r>
              <w:rPr>
                <w:b/>
                <w:sz w:val="18"/>
                <w:szCs w:val="18"/>
              </w:rPr>
              <w:t xml:space="preserve">Dairy Yoghurt &amp; Dairy Foods </w:t>
            </w:r>
          </w:p>
        </w:tc>
        <w:tc>
          <w:tcPr>
            <w:tcW w:w="2127" w:type="dxa"/>
            <w:shd w:val="clear" w:color="auto" w:fill="auto"/>
          </w:tcPr>
          <w:p w14:paraId="02C7B5D4" w14:textId="77777777" w:rsidR="00C06A59" w:rsidRPr="0055657C" w:rsidRDefault="00C06A59" w:rsidP="00DE5FE6">
            <w:pPr>
              <w:rPr>
                <w:b/>
                <w:sz w:val="16"/>
                <w:szCs w:val="16"/>
              </w:rPr>
            </w:pPr>
            <w:r w:rsidRPr="0055657C">
              <w:rPr>
                <w:b/>
                <w:sz w:val="16"/>
                <w:szCs w:val="16"/>
              </w:rPr>
              <w:t>Total Sugar</w:t>
            </w:r>
          </w:p>
          <w:p w14:paraId="3BEA8674" w14:textId="08F18357" w:rsidR="00C06A59" w:rsidRPr="0055657C" w:rsidRDefault="00C06A59" w:rsidP="00DE5FE6">
            <w:pPr>
              <w:rPr>
                <w:sz w:val="16"/>
                <w:szCs w:val="16"/>
              </w:rPr>
            </w:pPr>
            <w:r w:rsidRPr="0055657C">
              <w:rPr>
                <w:sz w:val="16"/>
                <w:szCs w:val="16"/>
              </w:rPr>
              <w:t>8.5g/100g OR 15% reduction for product</w:t>
            </w:r>
            <w:r w:rsidR="00FB5819">
              <w:rPr>
                <w:sz w:val="16"/>
                <w:szCs w:val="16"/>
              </w:rPr>
              <w:t>s significantly above 8.5g/100g</w:t>
            </w:r>
          </w:p>
        </w:tc>
        <w:tc>
          <w:tcPr>
            <w:tcW w:w="1986" w:type="dxa"/>
            <w:tcBorders>
              <w:top w:val="single" w:sz="4" w:space="0" w:color="auto"/>
            </w:tcBorders>
            <w:shd w:val="clear" w:color="auto" w:fill="auto"/>
          </w:tcPr>
          <w:p w14:paraId="2F34D72D" w14:textId="77777777" w:rsidR="00C06A59" w:rsidRPr="0055657C" w:rsidRDefault="00C06A59" w:rsidP="00DE5FE6">
            <w:pPr>
              <w:rPr>
                <w:sz w:val="16"/>
                <w:szCs w:val="16"/>
              </w:rPr>
            </w:pPr>
            <w:r w:rsidRPr="0055657C">
              <w:rPr>
                <w:sz w:val="16"/>
                <w:szCs w:val="16"/>
              </w:rPr>
              <w:t xml:space="preserve">Target set Feb </w:t>
            </w:r>
            <w:proofErr w:type="gramStart"/>
            <w:r w:rsidRPr="0055657C">
              <w:rPr>
                <w:sz w:val="16"/>
                <w:szCs w:val="16"/>
              </w:rPr>
              <w:t>2018;</w:t>
            </w:r>
            <w:proofErr w:type="gramEnd"/>
          </w:p>
          <w:p w14:paraId="192F9452" w14:textId="77777777" w:rsidR="00C06A59" w:rsidRPr="0055657C" w:rsidRDefault="00C06A59" w:rsidP="00DE5FE6">
            <w:pPr>
              <w:rPr>
                <w:sz w:val="16"/>
                <w:szCs w:val="16"/>
              </w:rPr>
            </w:pPr>
            <w:r w:rsidRPr="0055657C">
              <w:rPr>
                <w:sz w:val="16"/>
                <w:szCs w:val="16"/>
              </w:rPr>
              <w:t>Target review Feb 2023</w:t>
            </w:r>
          </w:p>
        </w:tc>
        <w:tc>
          <w:tcPr>
            <w:tcW w:w="2925" w:type="dxa"/>
            <w:tcBorders>
              <w:top w:val="single" w:sz="4" w:space="0" w:color="auto"/>
              <w:left w:val="nil"/>
              <w:bottom w:val="single" w:sz="6" w:space="0" w:color="auto"/>
              <w:right w:val="single" w:sz="6" w:space="0" w:color="auto"/>
            </w:tcBorders>
            <w:shd w:val="clear" w:color="auto" w:fill="auto"/>
          </w:tcPr>
          <w:p w14:paraId="7B10429B" w14:textId="237B7E2D" w:rsidR="00C06A59" w:rsidRPr="0055657C" w:rsidRDefault="00C06A59" w:rsidP="0055657C">
            <w:pPr>
              <w:pStyle w:val="paragraph"/>
              <w:spacing w:before="0" w:beforeAutospacing="0" w:after="0" w:afterAutospacing="0"/>
              <w:textAlignment w:val="baseline"/>
              <w:rPr>
                <w:sz w:val="18"/>
                <w:szCs w:val="18"/>
              </w:rPr>
            </w:pPr>
            <w:r w:rsidRPr="0055657C">
              <w:rPr>
                <w:rStyle w:val="normaltextrun"/>
                <w:rFonts w:eastAsiaTheme="majorEastAsia"/>
                <w:sz w:val="16"/>
                <w:szCs w:val="16"/>
              </w:rPr>
              <w:t>Interim highlight: 40% reduction in added sugar across a top selling range (n=33products) by 1 company. New products (n=5) in another company are all compliant.</w:t>
            </w:r>
          </w:p>
        </w:tc>
      </w:tr>
      <w:tr w:rsidR="00C06A59" w:rsidRPr="00C06A59" w14:paraId="365C5D3F" w14:textId="77777777" w:rsidTr="00DE5FE6">
        <w:tc>
          <w:tcPr>
            <w:tcW w:w="1978" w:type="dxa"/>
            <w:shd w:val="clear" w:color="auto" w:fill="auto"/>
          </w:tcPr>
          <w:p w14:paraId="2C286AFD" w14:textId="422246A0" w:rsidR="00C06A59" w:rsidRPr="0055657C" w:rsidRDefault="00FB5819" w:rsidP="00DE5FE6">
            <w:pPr>
              <w:rPr>
                <w:b/>
                <w:sz w:val="18"/>
                <w:szCs w:val="18"/>
              </w:rPr>
            </w:pPr>
            <w:r>
              <w:rPr>
                <w:b/>
                <w:sz w:val="18"/>
                <w:szCs w:val="18"/>
              </w:rPr>
              <w:t>Flavoured Dairy Milk</w:t>
            </w:r>
          </w:p>
        </w:tc>
        <w:tc>
          <w:tcPr>
            <w:tcW w:w="2127" w:type="dxa"/>
            <w:shd w:val="clear" w:color="auto" w:fill="auto"/>
          </w:tcPr>
          <w:p w14:paraId="259D484C" w14:textId="77777777" w:rsidR="00C06A59" w:rsidRPr="0055657C" w:rsidRDefault="00C06A59" w:rsidP="00DE5FE6">
            <w:pPr>
              <w:rPr>
                <w:b/>
                <w:sz w:val="16"/>
                <w:szCs w:val="16"/>
              </w:rPr>
            </w:pPr>
            <w:r w:rsidRPr="0055657C">
              <w:rPr>
                <w:b/>
                <w:sz w:val="16"/>
                <w:szCs w:val="16"/>
              </w:rPr>
              <w:t>Total Sugar</w:t>
            </w:r>
          </w:p>
          <w:p w14:paraId="6A6920E7" w14:textId="70CC8CF9" w:rsidR="00C06A59" w:rsidRPr="0055657C" w:rsidRDefault="00C06A59" w:rsidP="00DE5FE6">
            <w:pPr>
              <w:rPr>
                <w:sz w:val="16"/>
                <w:szCs w:val="16"/>
              </w:rPr>
            </w:pPr>
            <w:r w:rsidRPr="0055657C">
              <w:rPr>
                <w:sz w:val="16"/>
                <w:szCs w:val="16"/>
              </w:rPr>
              <w:t>7.0g/100ml OR 10% reduction for products that are</w:t>
            </w:r>
            <w:r w:rsidR="0055657C" w:rsidRPr="0055657C">
              <w:rPr>
                <w:sz w:val="16"/>
                <w:szCs w:val="16"/>
              </w:rPr>
              <w:t xml:space="preserve"> significantly above 7.0g/100ml</w:t>
            </w:r>
          </w:p>
        </w:tc>
        <w:tc>
          <w:tcPr>
            <w:tcW w:w="1986" w:type="dxa"/>
            <w:shd w:val="clear" w:color="auto" w:fill="auto"/>
          </w:tcPr>
          <w:p w14:paraId="5E203F3E" w14:textId="77777777" w:rsidR="00C06A59" w:rsidRPr="0055657C" w:rsidRDefault="00C06A59" w:rsidP="00DE5FE6">
            <w:pPr>
              <w:rPr>
                <w:sz w:val="16"/>
                <w:szCs w:val="16"/>
              </w:rPr>
            </w:pPr>
            <w:r w:rsidRPr="0055657C">
              <w:rPr>
                <w:sz w:val="16"/>
                <w:szCs w:val="16"/>
              </w:rPr>
              <w:t xml:space="preserve">Target set April </w:t>
            </w:r>
            <w:proofErr w:type="gramStart"/>
            <w:r w:rsidRPr="0055657C">
              <w:rPr>
                <w:sz w:val="16"/>
                <w:szCs w:val="16"/>
              </w:rPr>
              <w:t>2018;</w:t>
            </w:r>
            <w:proofErr w:type="gramEnd"/>
          </w:p>
          <w:p w14:paraId="16271AFF" w14:textId="77777777" w:rsidR="00C06A59" w:rsidRPr="0055657C" w:rsidRDefault="00C06A59" w:rsidP="00DE5FE6">
            <w:pPr>
              <w:rPr>
                <w:sz w:val="16"/>
                <w:szCs w:val="16"/>
              </w:rPr>
            </w:pPr>
            <w:r w:rsidRPr="0055657C">
              <w:rPr>
                <w:sz w:val="16"/>
                <w:szCs w:val="16"/>
              </w:rPr>
              <w:t>Target review April 2023</w:t>
            </w:r>
          </w:p>
        </w:tc>
        <w:tc>
          <w:tcPr>
            <w:tcW w:w="2925" w:type="dxa"/>
            <w:tcBorders>
              <w:top w:val="nil"/>
              <w:left w:val="nil"/>
              <w:bottom w:val="single" w:sz="6" w:space="0" w:color="auto"/>
              <w:right w:val="single" w:sz="6" w:space="0" w:color="auto"/>
            </w:tcBorders>
            <w:shd w:val="clear" w:color="auto" w:fill="auto"/>
          </w:tcPr>
          <w:p w14:paraId="75436A92" w14:textId="77777777" w:rsidR="00C06A59" w:rsidRPr="0055657C" w:rsidRDefault="00C06A59" w:rsidP="00DE5FE6">
            <w:pPr>
              <w:rPr>
                <w:sz w:val="16"/>
                <w:szCs w:val="16"/>
              </w:rPr>
            </w:pPr>
            <w:r w:rsidRPr="0055657C">
              <w:rPr>
                <w:rStyle w:val="normaltextrun"/>
                <w:sz w:val="16"/>
                <w:szCs w:val="16"/>
              </w:rPr>
              <w:t>Interim highlight: 30% reduction in added sugar of top selling range (n=13 products) by 1 company.</w:t>
            </w:r>
          </w:p>
        </w:tc>
      </w:tr>
      <w:tr w:rsidR="00C06A59" w:rsidRPr="00C06A59" w14:paraId="0653B058" w14:textId="77777777" w:rsidTr="00DE5FE6">
        <w:tc>
          <w:tcPr>
            <w:tcW w:w="1978" w:type="dxa"/>
            <w:shd w:val="clear" w:color="auto" w:fill="auto"/>
          </w:tcPr>
          <w:p w14:paraId="549B4FED" w14:textId="25056655" w:rsidR="00C06A59" w:rsidRPr="0055657C" w:rsidRDefault="00C06A59" w:rsidP="00214A63">
            <w:pPr>
              <w:rPr>
                <w:b/>
                <w:sz w:val="18"/>
                <w:szCs w:val="18"/>
              </w:rPr>
            </w:pPr>
            <w:r w:rsidRPr="0055657C">
              <w:rPr>
                <w:b/>
                <w:sz w:val="18"/>
                <w:szCs w:val="18"/>
              </w:rPr>
              <w:t>Crumbed/ Battered Proteins</w:t>
            </w:r>
          </w:p>
        </w:tc>
        <w:tc>
          <w:tcPr>
            <w:tcW w:w="2127" w:type="dxa"/>
            <w:shd w:val="clear" w:color="auto" w:fill="auto"/>
          </w:tcPr>
          <w:p w14:paraId="655609AB" w14:textId="77777777" w:rsidR="00C06A59" w:rsidRPr="0055657C" w:rsidRDefault="00C06A59" w:rsidP="00DE5FE6">
            <w:pPr>
              <w:rPr>
                <w:b/>
                <w:sz w:val="16"/>
                <w:szCs w:val="16"/>
              </w:rPr>
            </w:pPr>
            <w:r w:rsidRPr="0055657C">
              <w:rPr>
                <w:b/>
                <w:sz w:val="16"/>
                <w:szCs w:val="16"/>
              </w:rPr>
              <w:t xml:space="preserve">Sodium </w:t>
            </w:r>
          </w:p>
          <w:p w14:paraId="17E7E1E7" w14:textId="77777777" w:rsidR="0055657C" w:rsidRPr="0055657C" w:rsidRDefault="0055657C" w:rsidP="0055657C">
            <w:pPr>
              <w:rPr>
                <w:b/>
                <w:sz w:val="16"/>
                <w:szCs w:val="16"/>
              </w:rPr>
            </w:pPr>
            <w:r w:rsidRPr="0055657C">
              <w:rPr>
                <w:b/>
                <w:sz w:val="16"/>
                <w:szCs w:val="16"/>
              </w:rPr>
              <w:t xml:space="preserve">Meat and Poultry </w:t>
            </w:r>
          </w:p>
          <w:p w14:paraId="715B2FBF" w14:textId="5A9C4270" w:rsidR="0055657C" w:rsidRPr="00FB5819" w:rsidRDefault="00C06A59" w:rsidP="00DE5FE6">
            <w:pPr>
              <w:rPr>
                <w:sz w:val="16"/>
              </w:rPr>
            </w:pPr>
            <w:r w:rsidRPr="0055657C">
              <w:rPr>
                <w:sz w:val="16"/>
              </w:rPr>
              <w:t>450mg/100g OR 15% reduction for product</w:t>
            </w:r>
            <w:r w:rsidR="00FB5819">
              <w:rPr>
                <w:sz w:val="16"/>
              </w:rPr>
              <w:t>s significantly over 450mg/100g</w:t>
            </w:r>
          </w:p>
          <w:p w14:paraId="7B4AE9EA" w14:textId="7CE17BE6" w:rsidR="00C06A59" w:rsidRPr="0055657C" w:rsidRDefault="0055657C" w:rsidP="00DE5FE6">
            <w:pPr>
              <w:rPr>
                <w:b/>
                <w:sz w:val="16"/>
                <w:szCs w:val="16"/>
              </w:rPr>
            </w:pPr>
            <w:r w:rsidRPr="0055657C">
              <w:rPr>
                <w:b/>
                <w:sz w:val="16"/>
                <w:szCs w:val="16"/>
              </w:rPr>
              <w:t>Seafood</w:t>
            </w:r>
          </w:p>
          <w:p w14:paraId="0F7717EC" w14:textId="3B01AF85" w:rsidR="00C06A59" w:rsidRPr="0055657C" w:rsidRDefault="00C06A59" w:rsidP="0055657C">
            <w:pPr>
              <w:pStyle w:val="Default"/>
              <w:rPr>
                <w:rFonts w:ascii="Times New Roman" w:hAnsi="Times New Roman" w:cs="Times New Roman"/>
                <w:sz w:val="18"/>
                <w:szCs w:val="28"/>
              </w:rPr>
            </w:pPr>
            <w:r w:rsidRPr="0055657C">
              <w:rPr>
                <w:rFonts w:ascii="Times New Roman" w:hAnsi="Times New Roman" w:cs="Times New Roman"/>
                <w:sz w:val="16"/>
              </w:rPr>
              <w:t xml:space="preserve">270mg/100g OR 15% reduction for products significantly over 270mg/100g. </w:t>
            </w:r>
          </w:p>
        </w:tc>
        <w:tc>
          <w:tcPr>
            <w:tcW w:w="1986" w:type="dxa"/>
            <w:shd w:val="clear" w:color="auto" w:fill="auto"/>
          </w:tcPr>
          <w:p w14:paraId="66DD6923" w14:textId="77777777" w:rsidR="00C06A59" w:rsidRPr="0055657C" w:rsidRDefault="00C06A59" w:rsidP="00DE5FE6">
            <w:pPr>
              <w:rPr>
                <w:sz w:val="16"/>
                <w:szCs w:val="16"/>
              </w:rPr>
            </w:pPr>
            <w:r w:rsidRPr="0055657C">
              <w:rPr>
                <w:sz w:val="16"/>
                <w:szCs w:val="16"/>
              </w:rPr>
              <w:t xml:space="preserve">Target set Dec </w:t>
            </w:r>
            <w:proofErr w:type="gramStart"/>
            <w:r w:rsidRPr="0055657C">
              <w:rPr>
                <w:sz w:val="16"/>
                <w:szCs w:val="16"/>
              </w:rPr>
              <w:t>2019;</w:t>
            </w:r>
            <w:proofErr w:type="gramEnd"/>
            <w:r w:rsidRPr="0055657C">
              <w:rPr>
                <w:sz w:val="16"/>
                <w:szCs w:val="16"/>
              </w:rPr>
              <w:t xml:space="preserve"> </w:t>
            </w:r>
          </w:p>
          <w:p w14:paraId="57174A97" w14:textId="77777777" w:rsidR="00C06A59" w:rsidRPr="0055657C" w:rsidRDefault="00C06A59" w:rsidP="00DE5FE6">
            <w:pPr>
              <w:rPr>
                <w:sz w:val="16"/>
                <w:szCs w:val="16"/>
              </w:rPr>
            </w:pPr>
            <w:r w:rsidRPr="0055657C">
              <w:rPr>
                <w:sz w:val="16"/>
                <w:szCs w:val="16"/>
              </w:rPr>
              <w:t>Target review Dec 2023</w:t>
            </w:r>
          </w:p>
        </w:tc>
        <w:tc>
          <w:tcPr>
            <w:tcW w:w="2925" w:type="dxa"/>
            <w:tcBorders>
              <w:top w:val="nil"/>
              <w:left w:val="nil"/>
              <w:bottom w:val="single" w:sz="6" w:space="0" w:color="auto"/>
              <w:right w:val="single" w:sz="6" w:space="0" w:color="auto"/>
            </w:tcBorders>
            <w:shd w:val="clear" w:color="auto" w:fill="auto"/>
          </w:tcPr>
          <w:p w14:paraId="33956BC2" w14:textId="77777777" w:rsidR="00C06A59" w:rsidRPr="0055657C" w:rsidRDefault="00C06A59" w:rsidP="00DE5FE6">
            <w:pPr>
              <w:rPr>
                <w:sz w:val="16"/>
                <w:szCs w:val="16"/>
              </w:rPr>
            </w:pPr>
            <w:r w:rsidRPr="0055657C">
              <w:rPr>
                <w:rStyle w:val="normaltextrun"/>
                <w:sz w:val="16"/>
                <w:szCs w:val="16"/>
              </w:rPr>
              <w:t>N/A – new target</w:t>
            </w:r>
            <w:r w:rsidRPr="0055657C">
              <w:rPr>
                <w:rStyle w:val="eop"/>
                <w:sz w:val="16"/>
                <w:szCs w:val="16"/>
              </w:rPr>
              <w:t> </w:t>
            </w:r>
          </w:p>
        </w:tc>
      </w:tr>
      <w:tr w:rsidR="00C06A59" w:rsidRPr="00C06A59" w14:paraId="5AE42814" w14:textId="77777777" w:rsidTr="00DE5FE6">
        <w:tc>
          <w:tcPr>
            <w:tcW w:w="1978" w:type="dxa"/>
            <w:shd w:val="clear" w:color="auto" w:fill="auto"/>
          </w:tcPr>
          <w:p w14:paraId="53A0E2A7" w14:textId="77777777" w:rsidR="00C06A59" w:rsidRPr="0055657C" w:rsidRDefault="00C06A59" w:rsidP="00DE5FE6">
            <w:pPr>
              <w:rPr>
                <w:b/>
                <w:sz w:val="18"/>
                <w:szCs w:val="18"/>
              </w:rPr>
            </w:pPr>
            <w:r w:rsidRPr="0055657C">
              <w:rPr>
                <w:b/>
                <w:sz w:val="18"/>
                <w:szCs w:val="18"/>
              </w:rPr>
              <w:t xml:space="preserve">Ready Meals </w:t>
            </w:r>
          </w:p>
          <w:p w14:paraId="5E2413D5" w14:textId="77777777" w:rsidR="00C06A59" w:rsidRPr="0055657C" w:rsidRDefault="00C06A59" w:rsidP="00DE5FE6">
            <w:pPr>
              <w:rPr>
                <w:b/>
                <w:sz w:val="18"/>
                <w:szCs w:val="18"/>
              </w:rPr>
            </w:pPr>
          </w:p>
        </w:tc>
        <w:tc>
          <w:tcPr>
            <w:tcW w:w="2127" w:type="dxa"/>
            <w:shd w:val="clear" w:color="auto" w:fill="auto"/>
          </w:tcPr>
          <w:p w14:paraId="2919B330" w14:textId="77777777" w:rsidR="00C06A59" w:rsidRPr="0055657C" w:rsidRDefault="00C06A59" w:rsidP="00DE5FE6">
            <w:pPr>
              <w:rPr>
                <w:b/>
                <w:sz w:val="16"/>
                <w:szCs w:val="16"/>
              </w:rPr>
            </w:pPr>
            <w:r w:rsidRPr="0055657C">
              <w:rPr>
                <w:b/>
                <w:sz w:val="16"/>
                <w:szCs w:val="16"/>
              </w:rPr>
              <w:lastRenderedPageBreak/>
              <w:t xml:space="preserve">Sodium </w:t>
            </w:r>
          </w:p>
          <w:p w14:paraId="347E94AD" w14:textId="1FBDBF42" w:rsidR="00C06A59" w:rsidRPr="0055657C" w:rsidRDefault="00C06A59" w:rsidP="00DE5FE6">
            <w:pPr>
              <w:rPr>
                <w:bCs/>
                <w:sz w:val="16"/>
                <w:szCs w:val="16"/>
              </w:rPr>
            </w:pPr>
            <w:r w:rsidRPr="0055657C">
              <w:rPr>
                <w:bCs/>
                <w:sz w:val="16"/>
                <w:szCs w:val="16"/>
              </w:rPr>
              <w:lastRenderedPageBreak/>
              <w:t>250mg/100g OR 15% reduction for product</w:t>
            </w:r>
            <w:r w:rsidR="0055657C" w:rsidRPr="0055657C">
              <w:rPr>
                <w:bCs/>
                <w:sz w:val="16"/>
                <w:szCs w:val="16"/>
              </w:rPr>
              <w:t>s significantly over 250mg/100g</w:t>
            </w:r>
          </w:p>
        </w:tc>
        <w:tc>
          <w:tcPr>
            <w:tcW w:w="1986" w:type="dxa"/>
            <w:shd w:val="clear" w:color="auto" w:fill="auto"/>
          </w:tcPr>
          <w:p w14:paraId="771A7B8C" w14:textId="77777777" w:rsidR="00C06A59" w:rsidRPr="0055657C" w:rsidRDefault="00C06A59" w:rsidP="00DE5FE6">
            <w:pPr>
              <w:rPr>
                <w:sz w:val="16"/>
                <w:szCs w:val="16"/>
              </w:rPr>
            </w:pPr>
            <w:r w:rsidRPr="0055657C">
              <w:rPr>
                <w:sz w:val="16"/>
                <w:szCs w:val="16"/>
              </w:rPr>
              <w:lastRenderedPageBreak/>
              <w:t xml:space="preserve">Target set July </w:t>
            </w:r>
            <w:proofErr w:type="gramStart"/>
            <w:r w:rsidRPr="0055657C">
              <w:rPr>
                <w:sz w:val="16"/>
                <w:szCs w:val="16"/>
              </w:rPr>
              <w:t>2020;</w:t>
            </w:r>
            <w:proofErr w:type="gramEnd"/>
          </w:p>
          <w:p w14:paraId="4E02ADBC" w14:textId="77777777" w:rsidR="00C06A59" w:rsidRPr="0055657C" w:rsidRDefault="00C06A59" w:rsidP="00DE5FE6">
            <w:pPr>
              <w:rPr>
                <w:sz w:val="16"/>
                <w:szCs w:val="16"/>
              </w:rPr>
            </w:pPr>
            <w:r w:rsidRPr="0055657C">
              <w:rPr>
                <w:sz w:val="16"/>
                <w:szCs w:val="16"/>
              </w:rPr>
              <w:lastRenderedPageBreak/>
              <w:t xml:space="preserve">Target review July 2024 </w:t>
            </w:r>
          </w:p>
        </w:tc>
        <w:tc>
          <w:tcPr>
            <w:tcW w:w="2925" w:type="dxa"/>
            <w:tcBorders>
              <w:top w:val="nil"/>
              <w:left w:val="nil"/>
              <w:bottom w:val="single" w:sz="6" w:space="0" w:color="auto"/>
              <w:right w:val="single" w:sz="6" w:space="0" w:color="auto"/>
            </w:tcBorders>
            <w:shd w:val="clear" w:color="auto" w:fill="auto"/>
          </w:tcPr>
          <w:p w14:paraId="57CFD325" w14:textId="77777777" w:rsidR="00C06A59" w:rsidRPr="0055657C" w:rsidRDefault="00C06A59" w:rsidP="00DE5FE6">
            <w:pPr>
              <w:rPr>
                <w:sz w:val="16"/>
                <w:szCs w:val="16"/>
              </w:rPr>
            </w:pPr>
            <w:r w:rsidRPr="0055657C">
              <w:rPr>
                <w:rStyle w:val="normaltextrun"/>
                <w:sz w:val="16"/>
                <w:szCs w:val="16"/>
              </w:rPr>
              <w:lastRenderedPageBreak/>
              <w:t>N/A – new target</w:t>
            </w:r>
            <w:r w:rsidRPr="0055657C">
              <w:rPr>
                <w:rStyle w:val="eop"/>
                <w:sz w:val="16"/>
                <w:szCs w:val="16"/>
              </w:rPr>
              <w:t> </w:t>
            </w:r>
          </w:p>
        </w:tc>
      </w:tr>
      <w:tr w:rsidR="00C06A59" w:rsidRPr="00C06A59" w14:paraId="68CEB776" w14:textId="77777777" w:rsidTr="00DE5FE6">
        <w:tc>
          <w:tcPr>
            <w:tcW w:w="1978" w:type="dxa"/>
            <w:shd w:val="clear" w:color="auto" w:fill="auto"/>
          </w:tcPr>
          <w:p w14:paraId="7DE267D8" w14:textId="77777777" w:rsidR="00C06A59" w:rsidRPr="0055657C" w:rsidRDefault="00C06A59" w:rsidP="00DE5FE6">
            <w:pPr>
              <w:rPr>
                <w:b/>
                <w:sz w:val="18"/>
                <w:szCs w:val="18"/>
              </w:rPr>
            </w:pPr>
            <w:r w:rsidRPr="0055657C">
              <w:rPr>
                <w:b/>
                <w:sz w:val="18"/>
                <w:szCs w:val="18"/>
              </w:rPr>
              <w:t>Pizzas</w:t>
            </w:r>
          </w:p>
        </w:tc>
        <w:tc>
          <w:tcPr>
            <w:tcW w:w="2127" w:type="dxa"/>
            <w:shd w:val="clear" w:color="auto" w:fill="auto"/>
          </w:tcPr>
          <w:p w14:paraId="71B6CED7" w14:textId="77777777" w:rsidR="00C06A59" w:rsidRPr="0055657C" w:rsidRDefault="00C06A59" w:rsidP="00DE5FE6">
            <w:pPr>
              <w:rPr>
                <w:b/>
                <w:sz w:val="16"/>
                <w:szCs w:val="16"/>
              </w:rPr>
            </w:pPr>
            <w:r w:rsidRPr="0055657C">
              <w:rPr>
                <w:b/>
                <w:sz w:val="16"/>
                <w:szCs w:val="16"/>
              </w:rPr>
              <w:t>Sodium</w:t>
            </w:r>
          </w:p>
          <w:p w14:paraId="1D8B6B74" w14:textId="3CA4B671" w:rsidR="00C06A59" w:rsidRPr="0055657C" w:rsidRDefault="00C06A59" w:rsidP="00DE5FE6">
            <w:pPr>
              <w:rPr>
                <w:bCs/>
                <w:sz w:val="16"/>
                <w:szCs w:val="16"/>
              </w:rPr>
            </w:pPr>
            <w:r w:rsidRPr="0055657C">
              <w:rPr>
                <w:bCs/>
                <w:sz w:val="16"/>
                <w:szCs w:val="16"/>
              </w:rPr>
              <w:t xml:space="preserve">450mg/100g OR 15% reduction for products </w:t>
            </w:r>
            <w:r w:rsidR="00FB5819">
              <w:rPr>
                <w:bCs/>
                <w:sz w:val="16"/>
                <w:szCs w:val="16"/>
              </w:rPr>
              <w:t>significantly above 450mg/100g.</w:t>
            </w:r>
          </w:p>
          <w:p w14:paraId="08A609D3" w14:textId="77777777" w:rsidR="00C06A59" w:rsidRPr="0055657C" w:rsidRDefault="00C06A59" w:rsidP="00DE5FE6">
            <w:pPr>
              <w:rPr>
                <w:b/>
                <w:sz w:val="16"/>
                <w:szCs w:val="16"/>
              </w:rPr>
            </w:pPr>
            <w:r w:rsidRPr="0055657C">
              <w:rPr>
                <w:b/>
                <w:sz w:val="16"/>
                <w:szCs w:val="16"/>
              </w:rPr>
              <w:t>Saturated Fat</w:t>
            </w:r>
          </w:p>
          <w:p w14:paraId="257351FD" w14:textId="693B37E9" w:rsidR="00C06A59" w:rsidRPr="0055657C" w:rsidRDefault="00C06A59" w:rsidP="00DE5FE6">
            <w:pPr>
              <w:rPr>
                <w:bCs/>
                <w:sz w:val="16"/>
                <w:szCs w:val="16"/>
              </w:rPr>
            </w:pPr>
            <w:r w:rsidRPr="0055657C">
              <w:rPr>
                <w:bCs/>
                <w:sz w:val="16"/>
                <w:szCs w:val="16"/>
              </w:rPr>
              <w:t>4g/10g OR 15% reduction for products that a</w:t>
            </w:r>
            <w:r w:rsidR="0055657C" w:rsidRPr="0055657C">
              <w:rPr>
                <w:bCs/>
                <w:sz w:val="16"/>
                <w:szCs w:val="16"/>
              </w:rPr>
              <w:t>re significantly above 4g/100g.</w:t>
            </w:r>
          </w:p>
        </w:tc>
        <w:tc>
          <w:tcPr>
            <w:tcW w:w="1986" w:type="dxa"/>
            <w:shd w:val="clear" w:color="auto" w:fill="auto"/>
          </w:tcPr>
          <w:p w14:paraId="541D1C11" w14:textId="77777777" w:rsidR="00C06A59" w:rsidRPr="0055657C" w:rsidRDefault="00C06A59" w:rsidP="00DE5FE6">
            <w:pPr>
              <w:rPr>
                <w:sz w:val="16"/>
                <w:szCs w:val="16"/>
              </w:rPr>
            </w:pPr>
            <w:r w:rsidRPr="0055657C">
              <w:rPr>
                <w:sz w:val="16"/>
                <w:szCs w:val="16"/>
              </w:rPr>
              <w:t xml:space="preserve">Target set June </w:t>
            </w:r>
            <w:proofErr w:type="gramStart"/>
            <w:r w:rsidRPr="0055657C">
              <w:rPr>
                <w:sz w:val="16"/>
                <w:szCs w:val="16"/>
              </w:rPr>
              <w:t>2020;</w:t>
            </w:r>
            <w:proofErr w:type="gramEnd"/>
          </w:p>
          <w:p w14:paraId="7BCAAB1D" w14:textId="77777777" w:rsidR="00C06A59" w:rsidRPr="0055657C" w:rsidRDefault="00C06A59" w:rsidP="00DE5FE6">
            <w:pPr>
              <w:rPr>
                <w:sz w:val="16"/>
                <w:szCs w:val="16"/>
              </w:rPr>
            </w:pPr>
            <w:r w:rsidRPr="0055657C">
              <w:rPr>
                <w:sz w:val="16"/>
                <w:szCs w:val="16"/>
              </w:rPr>
              <w:t>Target review June 2024</w:t>
            </w:r>
          </w:p>
        </w:tc>
        <w:tc>
          <w:tcPr>
            <w:tcW w:w="2925" w:type="dxa"/>
            <w:tcBorders>
              <w:top w:val="nil"/>
              <w:left w:val="nil"/>
              <w:bottom w:val="single" w:sz="6" w:space="0" w:color="auto"/>
              <w:right w:val="single" w:sz="6" w:space="0" w:color="auto"/>
            </w:tcBorders>
            <w:shd w:val="clear" w:color="auto" w:fill="auto"/>
          </w:tcPr>
          <w:p w14:paraId="291369CD" w14:textId="77777777" w:rsidR="00C06A59" w:rsidRPr="0055657C" w:rsidRDefault="00C06A59" w:rsidP="00DE5FE6">
            <w:pPr>
              <w:rPr>
                <w:sz w:val="16"/>
                <w:szCs w:val="16"/>
              </w:rPr>
            </w:pPr>
            <w:r w:rsidRPr="0055657C">
              <w:rPr>
                <w:rStyle w:val="normaltextrun"/>
                <w:sz w:val="16"/>
                <w:szCs w:val="16"/>
              </w:rPr>
              <w:t>N/A – new target</w:t>
            </w:r>
            <w:r w:rsidRPr="0055657C">
              <w:rPr>
                <w:rStyle w:val="eop"/>
                <w:sz w:val="16"/>
                <w:szCs w:val="16"/>
              </w:rPr>
              <w:t> </w:t>
            </w:r>
          </w:p>
        </w:tc>
      </w:tr>
    </w:tbl>
    <w:p w14:paraId="7A117E9C" w14:textId="1F3C48AF" w:rsidR="00CD4DB2" w:rsidRDefault="00CD4DB2">
      <w:pPr>
        <w:rPr>
          <w:b/>
        </w:rPr>
      </w:pPr>
      <w:r>
        <w:rPr>
          <w:b/>
        </w:rPr>
        <w:br w:type="page"/>
      </w:r>
    </w:p>
    <w:p w14:paraId="66BD125A" w14:textId="1440FDE8" w:rsidR="00280050" w:rsidRPr="0052296C" w:rsidRDefault="00CD4DB2" w:rsidP="0052296C">
      <w:pPr>
        <w:pStyle w:val="Heading1"/>
      </w:pPr>
      <w:bookmarkStart w:id="110" w:name="_Appendix_4"/>
      <w:bookmarkStart w:id="111" w:name="_Toc54273243"/>
      <w:bookmarkEnd w:id="110"/>
      <w:r>
        <w:lastRenderedPageBreak/>
        <w:t xml:space="preserve">Appendix </w:t>
      </w:r>
      <w:r w:rsidR="00314224">
        <w:t>4</w:t>
      </w:r>
      <w:bookmarkEnd w:id="111"/>
    </w:p>
    <w:p w14:paraId="211727B1" w14:textId="77777777" w:rsidR="00CD4DB2" w:rsidRDefault="00CD4DB2" w:rsidP="0052296C">
      <w:pPr>
        <w:pStyle w:val="Heading2"/>
        <w:jc w:val="center"/>
      </w:pPr>
      <w:bookmarkStart w:id="112" w:name="_Toc54273244"/>
      <w:r>
        <w:t>Statement of the problem agreed by Food Regulation Standing Committee (FRSC)</w:t>
      </w:r>
      <w:bookmarkEnd w:id="112"/>
    </w:p>
    <w:p w14:paraId="4461E5B5" w14:textId="77777777" w:rsidR="0052296C" w:rsidRDefault="0052296C" w:rsidP="0052296C">
      <w:pPr>
        <w:rPr>
          <w:iCs/>
        </w:rPr>
      </w:pPr>
      <w:r w:rsidRPr="0002416B">
        <w:rPr>
          <w:iCs/>
        </w:rPr>
        <w:t xml:space="preserve">The nutritional composition of </w:t>
      </w:r>
      <w:r>
        <w:rPr>
          <w:iCs/>
        </w:rPr>
        <w:t>processed foods</w:t>
      </w:r>
      <w:r w:rsidRPr="0002416B">
        <w:rPr>
          <w:iCs/>
        </w:rPr>
        <w:t xml:space="preserve"> (both packaged and unpackaged foods and drink</w:t>
      </w:r>
      <w:r>
        <w:rPr>
          <w:iCs/>
        </w:rPr>
        <w:t>s</w:t>
      </w:r>
      <w:r w:rsidRPr="0002416B">
        <w:rPr>
          <w:iCs/>
        </w:rPr>
        <w:t xml:space="preserve">, including those sold at quick service restaurants) is typically high in unhealthy fats, sugars and sodium/salt. </w:t>
      </w:r>
      <w:r>
        <w:rPr>
          <w:iCs/>
        </w:rPr>
        <w:t>Excess consumption of t</w:t>
      </w:r>
      <w:r w:rsidRPr="0002416B">
        <w:rPr>
          <w:iCs/>
        </w:rPr>
        <w:t>hese</w:t>
      </w:r>
      <w:r>
        <w:rPr>
          <w:iCs/>
        </w:rPr>
        <w:t xml:space="preserve"> foods and drinks can</w:t>
      </w:r>
      <w:r w:rsidRPr="0002416B">
        <w:rPr>
          <w:iCs/>
        </w:rPr>
        <w:t xml:space="preserve"> contribute to overweight and obesity, and diet-related chronic diseases. </w:t>
      </w:r>
    </w:p>
    <w:p w14:paraId="7AB62858" w14:textId="77777777" w:rsidR="0052296C" w:rsidRDefault="0052296C" w:rsidP="0052296C">
      <w:pPr>
        <w:rPr>
          <w:iCs/>
        </w:rPr>
      </w:pPr>
      <w:r w:rsidRPr="001D2138">
        <w:rPr>
          <w:iCs/>
        </w:rPr>
        <w:t>A strategic, co-ordinated approach is needed to implement effective strategies across the food system</w:t>
      </w:r>
      <w:r>
        <w:rPr>
          <w:iCs/>
        </w:rPr>
        <w:t xml:space="preserve"> to improve the composition of processed foods. The Australia and New Zealand Ministerial Forum on Food Regulation (the Forum) recognises voluntary measures to improve food composition to support public health objectives to reduce chronic disease related to overweight and </w:t>
      </w:r>
      <w:proofErr w:type="gramStart"/>
      <w:r>
        <w:rPr>
          <w:iCs/>
        </w:rPr>
        <w:t>obesity</w:t>
      </w:r>
      <w:r w:rsidRPr="00D3647C">
        <w:rPr>
          <w:iCs/>
        </w:rPr>
        <w:t xml:space="preserve">, </w:t>
      </w:r>
      <w:r w:rsidRPr="00B30ACC">
        <w:rPr>
          <w:iCs/>
        </w:rPr>
        <w:t>unless</w:t>
      </w:r>
      <w:proofErr w:type="gramEnd"/>
      <w:r w:rsidRPr="00B30ACC">
        <w:rPr>
          <w:iCs/>
        </w:rPr>
        <w:t xml:space="preserve"> there is a demonstrated need to consider regulatory measure</w:t>
      </w:r>
      <w:r>
        <w:rPr>
          <w:iCs/>
        </w:rPr>
        <w:t xml:space="preserve">s. The Forum recognises the current voluntary activities occurring in Australia through the Healthy Food Partnership and in New Zealand through the Heart Foundation reformulation program. </w:t>
      </w:r>
    </w:p>
    <w:p w14:paraId="39369EC5" w14:textId="77777777" w:rsidR="0052296C" w:rsidRDefault="0052296C" w:rsidP="0052296C">
      <w:pPr>
        <w:rPr>
          <w:iCs/>
        </w:rPr>
      </w:pPr>
      <w:proofErr w:type="gramStart"/>
      <w:r>
        <w:rPr>
          <w:iCs/>
        </w:rPr>
        <w:t>In the event that</w:t>
      </w:r>
      <w:proofErr w:type="gramEnd"/>
      <w:r>
        <w:rPr>
          <w:iCs/>
        </w:rPr>
        <w:t xml:space="preserve"> voluntary efforts to improve food composition are not effective (for example, through lack of industry engagement, insufficient achievement of voluntary targets or inequalities in access to reformulated products) in supporting public health outcomes, consideration of additional regulatory and non-regulatory approaches is warranted. A systems approach</w:t>
      </w:r>
      <w:r>
        <w:rPr>
          <w:rStyle w:val="FootnoteReference"/>
          <w:iCs/>
        </w:rPr>
        <w:footnoteReference w:id="182"/>
      </w:r>
      <w:r>
        <w:rPr>
          <w:iCs/>
        </w:rPr>
        <w:t xml:space="preserve"> is required in identifying potential failures in voluntary efforts and considering additional regulatory and non-regulatory options to improve population health outcomes in a timely and agile manner.</w:t>
      </w:r>
    </w:p>
    <w:p w14:paraId="7F75CD7E" w14:textId="77777777" w:rsidR="0052296C" w:rsidRDefault="0052296C" w:rsidP="0052296C">
      <w:r>
        <w:t xml:space="preserve">Two areas have been identified as case studies for a systems approach where population health would benefit from consideration of additional options to improve the composition of the food supply. These are sugary drinks and </w:t>
      </w:r>
      <w:proofErr w:type="spellStart"/>
      <w:r>
        <w:t>trans fat</w:t>
      </w:r>
      <w:proofErr w:type="spellEnd"/>
      <w:r>
        <w:t>.</w:t>
      </w:r>
    </w:p>
    <w:p w14:paraId="65596A7C" w14:textId="77777777" w:rsidR="0052296C" w:rsidRDefault="0052296C" w:rsidP="0052296C">
      <w:r>
        <w:t xml:space="preserve">To inform the development of a systems approach to </w:t>
      </w:r>
      <w:r w:rsidRPr="001D2138">
        <w:rPr>
          <w:iCs/>
        </w:rPr>
        <w:t>implement effective strategies across the food system</w:t>
      </w:r>
      <w:r>
        <w:rPr>
          <w:iCs/>
        </w:rPr>
        <w:t xml:space="preserve"> to improve the composition of processed foods</w:t>
      </w:r>
      <w:r>
        <w:t xml:space="preserve">, two case studies on sugary drinks and trans fats will be co-progressed. Sugary drinks and trans fats will be progressed through Gateway 1 of the Food Regulation Policy Framework to understand and identify approaches within the food regulation system to improve food composition. These case studies will inform a systems approach in relation to food composition in Australia and New Zealand which takes a strategic view on policies and procedures on this issue. </w:t>
      </w:r>
    </w:p>
    <w:p w14:paraId="3256FFDF" w14:textId="77777777" w:rsidR="0052296C" w:rsidRPr="003634B8" w:rsidRDefault="0052296C" w:rsidP="0052296C">
      <w:pPr>
        <w:rPr>
          <w:iCs/>
        </w:rPr>
      </w:pPr>
      <w:r>
        <w:t>Specific definitions of the problem for these nutrients/ingredients are described below:</w:t>
      </w:r>
    </w:p>
    <w:p w14:paraId="4EA2EC45" w14:textId="77777777" w:rsidR="0052296C" w:rsidRPr="000E23A0" w:rsidRDefault="0052296C" w:rsidP="0052296C">
      <w:pPr>
        <w:pStyle w:val="ListParagraph"/>
        <w:numPr>
          <w:ilvl w:val="0"/>
          <w:numId w:val="18"/>
        </w:numPr>
        <w:spacing w:after="0"/>
        <w:ind w:left="567" w:hanging="567"/>
        <w:contextualSpacing w:val="0"/>
        <w:rPr>
          <w:color w:val="1F497D"/>
        </w:rPr>
      </w:pPr>
      <w:r>
        <w:rPr>
          <w:u w:val="single"/>
        </w:rPr>
        <w:t>Sugary drinks</w:t>
      </w:r>
      <w:r w:rsidRPr="004B1989">
        <w:t xml:space="preserve"> -</w:t>
      </w:r>
      <w:r>
        <w:t xml:space="preserve"> Excess consumption of sugars is associated with dental caries, unhealthy weight gain and associated chronic conditions. Over half of Australians and New Zealanders exceed recommended limits for consumption of sugars, with sugary drinks being a major contributor to sugar intakes. The amount of sugar in sugary drinks varies considerably </w:t>
      </w:r>
      <w:r w:rsidRPr="004E6DF5">
        <w:t>internationally and domestically in similar products indicating there is scope to further reduce sugar</w:t>
      </w:r>
      <w:r>
        <w:t xml:space="preserve">. While there are voluntary reformulation actions in the beverage category, these have largely focussed on reducing sugar content across the beverage category by producing more bottled water or artificially sweetened drinks and not necessarily reformulating ‘full sugar’ products. </w:t>
      </w:r>
    </w:p>
    <w:p w14:paraId="24CCA8C8" w14:textId="264DA87F" w:rsidR="00CD4DB2" w:rsidRPr="00FB5819" w:rsidRDefault="0052296C" w:rsidP="009615A5">
      <w:pPr>
        <w:pStyle w:val="ListParagraph"/>
        <w:numPr>
          <w:ilvl w:val="0"/>
          <w:numId w:val="18"/>
        </w:numPr>
        <w:spacing w:after="0"/>
        <w:ind w:left="567" w:hanging="567"/>
        <w:contextualSpacing w:val="0"/>
      </w:pPr>
      <w:r w:rsidRPr="000E23A0">
        <w:rPr>
          <w:u w:val="single"/>
        </w:rPr>
        <w:lastRenderedPageBreak/>
        <w:t>Trans fats</w:t>
      </w:r>
      <w:r w:rsidRPr="004B1989">
        <w:t xml:space="preserve"> -</w:t>
      </w:r>
      <w:r>
        <w:t xml:space="preserve"> Excess consumption of trans fats increases the risk for cardiovascular disease. Trans fats intakes are within recommended limits for </w:t>
      </w:r>
      <w:proofErr w:type="gramStart"/>
      <w:r>
        <w:t>the majority of</w:t>
      </w:r>
      <w:proofErr w:type="gramEnd"/>
      <w:r>
        <w:t xml:space="preserve"> consumers in Australia and New Zealand, however evidence indicates vulnerable populations in Australia may be exceeding recommended </w:t>
      </w:r>
      <w:proofErr w:type="spellStart"/>
      <w:r>
        <w:t>trans fat</w:t>
      </w:r>
      <w:proofErr w:type="spellEnd"/>
      <w:r>
        <w:t xml:space="preserve"> consumption limits. Voluntary efforts to remove or reduce trans fats in the food supply have been largely successful. Despite this, some food products still </w:t>
      </w:r>
      <w:r w:rsidRPr="005A3340">
        <w:t>contain trans fats, at levels above international compositional limits in some instances. These products are likely to contain industrial trans fats.</w:t>
      </w:r>
    </w:p>
    <w:sectPr w:rsidR="00CD4DB2" w:rsidRPr="00FB5819" w:rsidSect="00D25F3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93CB3" w14:textId="77777777" w:rsidR="000F1209" w:rsidRDefault="000F1209" w:rsidP="002C50DE">
      <w:pPr>
        <w:spacing w:after="0"/>
      </w:pPr>
      <w:r>
        <w:separator/>
      </w:r>
    </w:p>
  </w:endnote>
  <w:endnote w:type="continuationSeparator" w:id="0">
    <w:p w14:paraId="09D7CB4B" w14:textId="77777777" w:rsidR="000F1209" w:rsidRDefault="000F1209" w:rsidP="002C50DE">
      <w:pPr>
        <w:spacing w:after="0"/>
      </w:pPr>
      <w:r>
        <w:continuationSeparator/>
      </w:r>
    </w:p>
  </w:endnote>
  <w:endnote w:type="continuationNotice" w:id="1">
    <w:p w14:paraId="0112DA85" w14:textId="77777777" w:rsidR="000F1209" w:rsidRDefault="000F1209">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W1)">
    <w:altName w:val="Times New Roman"/>
    <w:charset w:val="00"/>
    <w:family w:val="auto"/>
    <w:pitch w:val="variable"/>
    <w:sig w:usb0="00000003" w:usb1="00000000" w:usb2="00000000" w:usb3="00000000" w:csb0="00000001" w:csb1="00000000"/>
  </w:font>
  <w:font w:name="NexusSan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2233329"/>
      <w:docPartObj>
        <w:docPartGallery w:val="Page Numbers (Bottom of Page)"/>
        <w:docPartUnique/>
      </w:docPartObj>
    </w:sdtPr>
    <w:sdtEndPr>
      <w:rPr>
        <w:noProof/>
        <w:sz w:val="20"/>
        <w:szCs w:val="20"/>
      </w:rPr>
    </w:sdtEndPr>
    <w:sdtContent>
      <w:p w14:paraId="36BCCF9A" w14:textId="39C86E70" w:rsidR="000F1209" w:rsidRPr="00797441" w:rsidRDefault="000F1209" w:rsidP="00797441">
        <w:pPr>
          <w:pStyle w:val="Footer"/>
          <w:jc w:val="right"/>
          <w:rPr>
            <w:sz w:val="20"/>
            <w:szCs w:val="20"/>
          </w:rPr>
        </w:pPr>
        <w:r w:rsidRPr="00797441">
          <w:rPr>
            <w:sz w:val="20"/>
            <w:szCs w:val="20"/>
          </w:rPr>
          <w:fldChar w:fldCharType="begin"/>
        </w:r>
        <w:r w:rsidRPr="00797441">
          <w:rPr>
            <w:sz w:val="20"/>
            <w:szCs w:val="20"/>
          </w:rPr>
          <w:instrText xml:space="preserve"> PAGE   \* MERGEFORMAT </w:instrText>
        </w:r>
        <w:r w:rsidRPr="00797441">
          <w:rPr>
            <w:sz w:val="20"/>
            <w:szCs w:val="20"/>
          </w:rPr>
          <w:fldChar w:fldCharType="separate"/>
        </w:r>
        <w:r w:rsidR="00EB78C9">
          <w:rPr>
            <w:noProof/>
            <w:sz w:val="20"/>
            <w:szCs w:val="20"/>
          </w:rPr>
          <w:t>45</w:t>
        </w:r>
        <w:r w:rsidRPr="00797441">
          <w:rPr>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ADA827" w14:textId="77777777" w:rsidR="000F1209" w:rsidRDefault="000F1209" w:rsidP="002C50DE">
      <w:pPr>
        <w:spacing w:after="0"/>
      </w:pPr>
      <w:r>
        <w:separator/>
      </w:r>
    </w:p>
  </w:footnote>
  <w:footnote w:type="continuationSeparator" w:id="0">
    <w:p w14:paraId="7EFE4EEA" w14:textId="77777777" w:rsidR="000F1209" w:rsidRDefault="000F1209" w:rsidP="002C50DE">
      <w:pPr>
        <w:spacing w:after="0"/>
      </w:pPr>
      <w:r>
        <w:continuationSeparator/>
      </w:r>
    </w:p>
  </w:footnote>
  <w:footnote w:type="continuationNotice" w:id="1">
    <w:p w14:paraId="47467DDC" w14:textId="77777777" w:rsidR="000F1209" w:rsidRPr="00EB78C9" w:rsidRDefault="000F1209" w:rsidP="00EB78C9">
      <w:pPr>
        <w:pStyle w:val="Footer"/>
      </w:pPr>
    </w:p>
  </w:footnote>
  <w:footnote w:id="2">
    <w:p w14:paraId="27B55064" w14:textId="438DE561" w:rsidR="000F1209" w:rsidRDefault="000F1209" w:rsidP="002743AF">
      <w:pPr>
        <w:pStyle w:val="FootnoteText"/>
      </w:pPr>
      <w:r>
        <w:rPr>
          <w:rStyle w:val="FootnoteReference"/>
        </w:rPr>
        <w:footnoteRef/>
      </w:r>
      <w:r>
        <w:t xml:space="preserve"> In this paper, compositional limits </w:t>
      </w:r>
      <w:proofErr w:type="gramStart"/>
      <w:r>
        <w:t>refers</w:t>
      </w:r>
      <w:proofErr w:type="gramEnd"/>
      <w:r>
        <w:t xml:space="preserve"> to mandatory limits on the presence of a nutrient in a particular food or food category. This differs from voluntary reformulation where the food industry may voluntarily change the composition of </w:t>
      </w:r>
      <w:proofErr w:type="gramStart"/>
      <w:r>
        <w:t>particular foods</w:t>
      </w:r>
      <w:proofErr w:type="gramEnd"/>
      <w:r>
        <w:t xml:space="preserve"> to improve its nutrition profile with or without Government leadership.</w:t>
      </w:r>
    </w:p>
  </w:footnote>
  <w:footnote w:id="3">
    <w:p w14:paraId="0A88012D" w14:textId="77777777" w:rsidR="000F1209" w:rsidRPr="00F65894" w:rsidRDefault="000F1209" w:rsidP="000A2CD8">
      <w:pPr>
        <w:pStyle w:val="FootnoteText"/>
      </w:pPr>
      <w:r w:rsidRPr="006476D4">
        <w:rPr>
          <w:rStyle w:val="FootnoteReference"/>
        </w:rPr>
        <w:footnoteRef/>
      </w:r>
      <w:r w:rsidRPr="006476D4">
        <w:t xml:space="preserve"> Australian National Health and Medical Research Council (NHMRC) </w:t>
      </w:r>
      <w:r>
        <w:t>(</w:t>
      </w:r>
      <w:r w:rsidRPr="006476D4">
        <w:t>2013</w:t>
      </w:r>
      <w:r>
        <w:t>)</w:t>
      </w:r>
      <w:r w:rsidRPr="006476D4">
        <w:t xml:space="preserve"> </w:t>
      </w:r>
      <w:r w:rsidRPr="00F65894">
        <w:rPr>
          <w:i/>
        </w:rPr>
        <w:t>Australian Dietary Guidelines</w:t>
      </w:r>
      <w:r>
        <w:rPr>
          <w:i/>
        </w:rPr>
        <w:t xml:space="preserve">. </w:t>
      </w:r>
      <w:r>
        <w:t xml:space="preserve">Available at: </w:t>
      </w:r>
      <w:hyperlink r:id="rId1" w:history="1">
        <w:r w:rsidRPr="00395E6F">
          <w:rPr>
            <w:rStyle w:val="Hyperlink"/>
          </w:rPr>
          <w:t>https://eatforhealth.govcms.gov.au/sites/default/files/content/n55_australian_dietary_guidelines.pdf</w:t>
        </w:r>
      </w:hyperlink>
      <w:r>
        <w:t xml:space="preserve"> </w:t>
      </w:r>
    </w:p>
  </w:footnote>
  <w:footnote w:id="4">
    <w:p w14:paraId="1EA1E2D5" w14:textId="77777777" w:rsidR="000F1209" w:rsidRPr="00F65894" w:rsidRDefault="000F1209" w:rsidP="000A2CD8">
      <w:pPr>
        <w:pStyle w:val="FootnoteText"/>
      </w:pPr>
      <w:r w:rsidRPr="006476D4">
        <w:rPr>
          <w:rStyle w:val="FootnoteReference"/>
        </w:rPr>
        <w:footnoteRef/>
      </w:r>
      <w:r w:rsidRPr="006476D4">
        <w:t xml:space="preserve"> New Zealand Ministry o</w:t>
      </w:r>
      <w:r>
        <w:t>f Health</w:t>
      </w:r>
      <w:r w:rsidRPr="006476D4">
        <w:t xml:space="preserve"> </w:t>
      </w:r>
      <w:r>
        <w:t>(2015)</w:t>
      </w:r>
      <w:r w:rsidRPr="006476D4">
        <w:t xml:space="preserve"> </w:t>
      </w:r>
      <w:r w:rsidRPr="00F65894">
        <w:rPr>
          <w:i/>
        </w:rPr>
        <w:t>Eating and Activity Guidelines for New Zealand adults</w:t>
      </w:r>
      <w:r>
        <w:t xml:space="preserve">. Available at: </w:t>
      </w:r>
      <w:hyperlink r:id="rId2" w:history="1">
        <w:r w:rsidRPr="00395E6F">
          <w:rPr>
            <w:rStyle w:val="Hyperlink"/>
          </w:rPr>
          <w:t>https://www.health.govt.nz/publication/eating-and-activity-guidelines-new-zealand-adults</w:t>
        </w:r>
      </w:hyperlink>
      <w:r>
        <w:t xml:space="preserve"> </w:t>
      </w:r>
    </w:p>
  </w:footnote>
  <w:footnote w:id="5">
    <w:p w14:paraId="06992998" w14:textId="146D79A3" w:rsidR="000F1209" w:rsidRDefault="000F1209">
      <w:pPr>
        <w:pStyle w:val="FootnoteText"/>
      </w:pPr>
      <w:r>
        <w:rPr>
          <w:rStyle w:val="FootnoteReference"/>
        </w:rPr>
        <w:footnoteRef/>
      </w:r>
      <w:r>
        <w:t xml:space="preserve"> In this paper, compositional limits </w:t>
      </w:r>
      <w:proofErr w:type="gramStart"/>
      <w:r>
        <w:t>refers</w:t>
      </w:r>
      <w:proofErr w:type="gramEnd"/>
      <w:r>
        <w:t xml:space="preserve"> to mandatory limits on the presence of a nutrient in a particular food or food category. This differs from voluntary reformulation where the food industry may voluntarily change the composition of </w:t>
      </w:r>
      <w:proofErr w:type="gramStart"/>
      <w:r>
        <w:t>particular foods</w:t>
      </w:r>
      <w:proofErr w:type="gramEnd"/>
      <w:r>
        <w:t xml:space="preserve"> to improve its nutrition profile with or without Government leadership.</w:t>
      </w:r>
    </w:p>
  </w:footnote>
  <w:footnote w:id="6">
    <w:p w14:paraId="269767B8" w14:textId="45C7DE75" w:rsidR="000F1209" w:rsidRPr="00F65894" w:rsidRDefault="000F1209" w:rsidP="00BB4ECC">
      <w:pPr>
        <w:pStyle w:val="FootnoteText"/>
      </w:pPr>
      <w:r w:rsidRPr="006476D4">
        <w:rPr>
          <w:rStyle w:val="FootnoteReference"/>
        </w:rPr>
        <w:footnoteRef/>
      </w:r>
      <w:r w:rsidRPr="006476D4">
        <w:t xml:space="preserve"> Australian National Health and Medical Research Council (NHMRC) </w:t>
      </w:r>
      <w:r>
        <w:t>(</w:t>
      </w:r>
      <w:r w:rsidRPr="006476D4">
        <w:t>2013</w:t>
      </w:r>
      <w:r>
        <w:t>)</w:t>
      </w:r>
      <w:r w:rsidRPr="006476D4">
        <w:t xml:space="preserve"> </w:t>
      </w:r>
      <w:r w:rsidRPr="00F65894">
        <w:rPr>
          <w:i/>
        </w:rPr>
        <w:t>Australian Dietary Guidelines</w:t>
      </w:r>
      <w:r>
        <w:rPr>
          <w:i/>
        </w:rPr>
        <w:t xml:space="preserve">. </w:t>
      </w:r>
      <w:r>
        <w:t xml:space="preserve">Available at: </w:t>
      </w:r>
      <w:hyperlink r:id="rId3" w:history="1">
        <w:r w:rsidRPr="00395E6F">
          <w:rPr>
            <w:rStyle w:val="Hyperlink"/>
          </w:rPr>
          <w:t>https://eatforhealth.govcms.gov.au/sites/default/files/content/n55_australian_dietary_guidelines.pdf</w:t>
        </w:r>
      </w:hyperlink>
      <w:r>
        <w:t xml:space="preserve"> </w:t>
      </w:r>
    </w:p>
  </w:footnote>
  <w:footnote w:id="7">
    <w:p w14:paraId="1972C447" w14:textId="75D7E522" w:rsidR="000F1209" w:rsidRPr="00F65894" w:rsidRDefault="000F1209" w:rsidP="00BB4ECC">
      <w:pPr>
        <w:pStyle w:val="FootnoteText"/>
      </w:pPr>
      <w:r w:rsidRPr="006476D4">
        <w:rPr>
          <w:rStyle w:val="FootnoteReference"/>
        </w:rPr>
        <w:footnoteRef/>
      </w:r>
      <w:r w:rsidRPr="006476D4">
        <w:t xml:space="preserve"> New Zealand Ministry o</w:t>
      </w:r>
      <w:r>
        <w:t>f Health</w:t>
      </w:r>
      <w:r w:rsidRPr="006476D4">
        <w:t xml:space="preserve"> </w:t>
      </w:r>
      <w:r>
        <w:t>(2015)</w:t>
      </w:r>
      <w:r w:rsidRPr="006476D4">
        <w:t xml:space="preserve"> </w:t>
      </w:r>
      <w:r w:rsidRPr="00F65894">
        <w:rPr>
          <w:i/>
        </w:rPr>
        <w:t>Eating and Activity Guidelines for New Zealand adults</w:t>
      </w:r>
      <w:r>
        <w:t xml:space="preserve">. Available at: </w:t>
      </w:r>
      <w:hyperlink r:id="rId4" w:history="1">
        <w:r w:rsidRPr="00395E6F">
          <w:rPr>
            <w:rStyle w:val="Hyperlink"/>
          </w:rPr>
          <w:t>https://www.health.govt.nz/publication/eating-and-activity-guidelines-new-zealand-adults</w:t>
        </w:r>
      </w:hyperlink>
      <w:r>
        <w:t xml:space="preserve"> </w:t>
      </w:r>
    </w:p>
  </w:footnote>
  <w:footnote w:id="8">
    <w:p w14:paraId="62E0A7BD" w14:textId="43999D32" w:rsidR="000F1209" w:rsidRPr="00F120FE" w:rsidRDefault="000F1209" w:rsidP="00BB4ECC">
      <w:pPr>
        <w:pStyle w:val="FootnoteText"/>
      </w:pPr>
      <w:r w:rsidRPr="006476D4">
        <w:rPr>
          <w:rStyle w:val="FootnoteReference"/>
        </w:rPr>
        <w:footnoteRef/>
      </w:r>
      <w:r w:rsidRPr="006476D4">
        <w:t xml:space="preserve"> Australian National Health and Medical Research Council (NHMRC) and New Zealand Ministry of Health,</w:t>
      </w:r>
      <w:r>
        <w:t xml:space="preserve"> (2006)</w:t>
      </w:r>
      <w:r w:rsidRPr="006476D4">
        <w:t xml:space="preserve"> </w:t>
      </w:r>
      <w:r w:rsidRPr="00F120FE">
        <w:rPr>
          <w:i/>
        </w:rPr>
        <w:t>Nutrient Reference Values</w:t>
      </w:r>
      <w:r w:rsidRPr="00F120FE">
        <w:rPr>
          <w:rStyle w:val="Hyperlink"/>
          <w:i/>
          <w:color w:val="auto"/>
          <w:u w:val="none"/>
        </w:rPr>
        <w:t xml:space="preserve">. </w:t>
      </w:r>
      <w:r w:rsidRPr="00F120FE">
        <w:rPr>
          <w:rStyle w:val="Hyperlink"/>
          <w:color w:val="auto"/>
          <w:u w:val="none"/>
        </w:rPr>
        <w:t>Available at:</w:t>
      </w:r>
      <w:r w:rsidRPr="00F120FE">
        <w:rPr>
          <w:rStyle w:val="Hyperlink"/>
          <w:color w:val="auto"/>
        </w:rPr>
        <w:t xml:space="preserve"> </w:t>
      </w:r>
      <w:hyperlink r:id="rId5" w:history="1">
        <w:r w:rsidRPr="00395E6F">
          <w:rPr>
            <w:rStyle w:val="Hyperlink"/>
          </w:rPr>
          <w:t>https://www.nrv.gov.au/home</w:t>
        </w:r>
      </w:hyperlink>
      <w:r>
        <w:rPr>
          <w:rStyle w:val="Hyperlink"/>
          <w:color w:val="auto"/>
          <w:u w:val="none"/>
        </w:rPr>
        <w:t xml:space="preserve"> </w:t>
      </w:r>
    </w:p>
  </w:footnote>
  <w:footnote w:id="9">
    <w:p w14:paraId="5F8FF698" w14:textId="7C156859" w:rsidR="000F1209" w:rsidRPr="006476D4" w:rsidRDefault="000F1209" w:rsidP="00BB4ECC">
      <w:pPr>
        <w:spacing w:after="0"/>
        <w:rPr>
          <w:sz w:val="20"/>
          <w:szCs w:val="20"/>
        </w:rPr>
      </w:pPr>
      <w:r w:rsidRPr="006476D4">
        <w:rPr>
          <w:rStyle w:val="FootnoteReference"/>
          <w:sz w:val="20"/>
          <w:szCs w:val="20"/>
        </w:rPr>
        <w:footnoteRef/>
      </w:r>
      <w:r w:rsidRPr="006476D4">
        <w:rPr>
          <w:sz w:val="20"/>
          <w:szCs w:val="20"/>
        </w:rPr>
        <w:t xml:space="preserve"> </w:t>
      </w:r>
      <w:r w:rsidRPr="006476D4">
        <w:rPr>
          <w:rFonts w:eastAsia="Times New Roman"/>
          <w:sz w:val="20"/>
          <w:szCs w:val="20"/>
        </w:rPr>
        <w:t>University o</w:t>
      </w:r>
      <w:r>
        <w:rPr>
          <w:rFonts w:eastAsia="Times New Roman"/>
          <w:sz w:val="20"/>
          <w:szCs w:val="20"/>
        </w:rPr>
        <w:t>f Otago and Ministry of Health (2011)</w:t>
      </w:r>
      <w:r w:rsidRPr="006476D4">
        <w:rPr>
          <w:rFonts w:eastAsia="Times New Roman"/>
          <w:sz w:val="20"/>
          <w:szCs w:val="20"/>
        </w:rPr>
        <w:t xml:space="preserve"> A Focus on Nutrition: Key findings of the 2008/09 New Zealand Adult Nutrition Survey. Wellington: Ministry of Health.</w:t>
      </w:r>
    </w:p>
  </w:footnote>
  <w:footnote w:id="10">
    <w:p w14:paraId="30F40581" w14:textId="2FB2F9BC" w:rsidR="000F1209" w:rsidRPr="006476D4" w:rsidRDefault="000F1209" w:rsidP="00BB4ECC">
      <w:pPr>
        <w:pStyle w:val="FootnoteText"/>
      </w:pPr>
      <w:r w:rsidRPr="006476D4">
        <w:rPr>
          <w:rStyle w:val="FootnoteReference"/>
        </w:rPr>
        <w:footnoteRef/>
      </w:r>
      <w:r w:rsidRPr="006476D4">
        <w:t xml:space="preserve"> Austral</w:t>
      </w:r>
      <w:r>
        <w:t>ian Bureau of Statistics (ABS) (2016)</w:t>
      </w:r>
      <w:r w:rsidRPr="006476D4">
        <w:t xml:space="preserve"> </w:t>
      </w:r>
      <w:r w:rsidRPr="00CB79C4">
        <w:rPr>
          <w:i/>
        </w:rPr>
        <w:t>4364.0.55.007 -</w:t>
      </w:r>
      <w:r w:rsidRPr="00CB79C4">
        <w:t xml:space="preserve"> </w:t>
      </w:r>
      <w:r w:rsidRPr="00CB79C4">
        <w:rPr>
          <w:i/>
        </w:rPr>
        <w:t>Australian Health Survey: Nutrition First Results - Foods and Nutrients, 2011-12</w:t>
      </w:r>
      <w:r>
        <w:t xml:space="preserve">. Available at: </w:t>
      </w:r>
      <w:hyperlink r:id="rId6" w:history="1">
        <w:r w:rsidRPr="00395E6F">
          <w:rPr>
            <w:rStyle w:val="Hyperlink"/>
          </w:rPr>
          <w:t>https://www.abs.gov.au/ausstats/abs@.nsf/Lookup/by%20Subject/4364.0.55.007~2011-12~Main%20Features~Fat~707</w:t>
        </w:r>
      </w:hyperlink>
      <w:r>
        <w:t xml:space="preserve"> </w:t>
      </w:r>
    </w:p>
  </w:footnote>
  <w:footnote w:id="11">
    <w:p w14:paraId="1C83E900" w14:textId="54E3E8E5" w:rsidR="000F1209" w:rsidRPr="006476D4" w:rsidRDefault="000F1209" w:rsidP="00BB4ECC">
      <w:pPr>
        <w:pStyle w:val="FootnoteText"/>
      </w:pPr>
      <w:r w:rsidRPr="006476D4">
        <w:rPr>
          <w:rStyle w:val="FootnoteReference"/>
        </w:rPr>
        <w:footnoteRef/>
      </w:r>
      <w:r w:rsidRPr="006476D4">
        <w:t xml:space="preserve"> Austral</w:t>
      </w:r>
      <w:r>
        <w:t>ian Bureau of Statistics (ABS) (2016)</w:t>
      </w:r>
      <w:r w:rsidRPr="006476D4">
        <w:t xml:space="preserve"> </w:t>
      </w:r>
      <w:r w:rsidRPr="00CB79C4">
        <w:rPr>
          <w:i/>
        </w:rPr>
        <w:t>4364.0.55.011 - Australian Health Survey: Consumption of added sugars, 2011-12</w:t>
      </w:r>
      <w:r>
        <w:rPr>
          <w:i/>
        </w:rPr>
        <w:t xml:space="preserve">. </w:t>
      </w:r>
      <w:r>
        <w:t xml:space="preserve">Available at: </w:t>
      </w:r>
      <w:hyperlink r:id="rId7" w:history="1">
        <w:r w:rsidRPr="00395E6F">
          <w:rPr>
            <w:rStyle w:val="Hyperlink"/>
          </w:rPr>
          <w:t>https://www.abs.gov.au/ausstats/abs@.nsf/Lookup/4364.0.55.011main+features12011-12</w:t>
        </w:r>
      </w:hyperlink>
      <w:r>
        <w:t xml:space="preserve"> </w:t>
      </w:r>
    </w:p>
  </w:footnote>
  <w:footnote w:id="12">
    <w:p w14:paraId="0B8E7540" w14:textId="25ADE88A" w:rsidR="000F1209" w:rsidRPr="006476D4" w:rsidRDefault="000F1209" w:rsidP="00BB4ECC">
      <w:pPr>
        <w:spacing w:after="0"/>
        <w:rPr>
          <w:sz w:val="20"/>
          <w:szCs w:val="20"/>
        </w:rPr>
      </w:pPr>
      <w:r w:rsidRPr="006476D4">
        <w:rPr>
          <w:rStyle w:val="FootnoteReference"/>
          <w:sz w:val="20"/>
          <w:szCs w:val="20"/>
        </w:rPr>
        <w:footnoteRef/>
      </w:r>
      <w:r w:rsidRPr="006476D4">
        <w:rPr>
          <w:sz w:val="20"/>
          <w:szCs w:val="20"/>
        </w:rPr>
        <w:t xml:space="preserve"> </w:t>
      </w:r>
      <w:proofErr w:type="spellStart"/>
      <w:r w:rsidRPr="006476D4">
        <w:rPr>
          <w:sz w:val="20"/>
          <w:szCs w:val="20"/>
        </w:rPr>
        <w:t>Kibblewhile</w:t>
      </w:r>
      <w:proofErr w:type="spellEnd"/>
      <w:r w:rsidRPr="006476D4">
        <w:rPr>
          <w:sz w:val="20"/>
          <w:szCs w:val="20"/>
        </w:rPr>
        <w:t xml:space="preserve"> R</w:t>
      </w:r>
      <w:r>
        <w:rPr>
          <w:sz w:val="20"/>
          <w:szCs w:val="20"/>
        </w:rPr>
        <w:t>.</w:t>
      </w:r>
      <w:r w:rsidRPr="006476D4">
        <w:rPr>
          <w:sz w:val="20"/>
          <w:szCs w:val="20"/>
        </w:rPr>
        <w:t xml:space="preserve"> </w:t>
      </w:r>
      <w:r w:rsidRPr="00CB79C4">
        <w:rPr>
          <w:i/>
          <w:sz w:val="20"/>
          <w:szCs w:val="20"/>
        </w:rPr>
        <w:t>et al</w:t>
      </w:r>
      <w:r>
        <w:rPr>
          <w:sz w:val="20"/>
          <w:szCs w:val="20"/>
        </w:rPr>
        <w:t>. (2017)</w:t>
      </w:r>
      <w:r w:rsidRPr="006476D4">
        <w:rPr>
          <w:sz w:val="20"/>
          <w:szCs w:val="20"/>
        </w:rPr>
        <w:t xml:space="preserve"> </w:t>
      </w:r>
      <w:r>
        <w:rPr>
          <w:sz w:val="20"/>
          <w:szCs w:val="20"/>
        </w:rPr>
        <w:t>‘</w:t>
      </w:r>
      <w:r w:rsidRPr="006476D4">
        <w:rPr>
          <w:sz w:val="20"/>
          <w:szCs w:val="20"/>
        </w:rPr>
        <w:t>Estimating Free and Added Sugar Intak</w:t>
      </w:r>
      <w:r>
        <w:rPr>
          <w:sz w:val="20"/>
          <w:szCs w:val="20"/>
        </w:rPr>
        <w:t>es in New Zealand’,</w:t>
      </w:r>
      <w:r w:rsidRPr="006476D4">
        <w:rPr>
          <w:sz w:val="20"/>
          <w:szCs w:val="20"/>
        </w:rPr>
        <w:t xml:space="preserve"> </w:t>
      </w:r>
      <w:r w:rsidRPr="00D43A05">
        <w:rPr>
          <w:i/>
          <w:sz w:val="20"/>
          <w:szCs w:val="20"/>
        </w:rPr>
        <w:t>Nutrients.</w:t>
      </w:r>
      <w:r>
        <w:rPr>
          <w:sz w:val="20"/>
          <w:szCs w:val="20"/>
        </w:rPr>
        <w:t xml:space="preserve"> 9(12): 1292</w:t>
      </w:r>
    </w:p>
  </w:footnote>
  <w:footnote w:id="13">
    <w:p w14:paraId="7334E054" w14:textId="03617AEA" w:rsidR="000F1209" w:rsidRPr="00CB79C4" w:rsidRDefault="000F1209" w:rsidP="00BB4ECC">
      <w:pPr>
        <w:pStyle w:val="FootnoteText"/>
      </w:pPr>
      <w:r w:rsidRPr="006476D4">
        <w:rPr>
          <w:rStyle w:val="FootnoteReference"/>
        </w:rPr>
        <w:footnoteRef/>
      </w:r>
      <w:r w:rsidRPr="006476D4">
        <w:t xml:space="preserve"> Austral</w:t>
      </w:r>
      <w:r>
        <w:t>ian Bureau of Statistics (ABS) (2016)</w:t>
      </w:r>
      <w:r w:rsidRPr="006476D4">
        <w:t xml:space="preserve"> </w:t>
      </w:r>
      <w:r w:rsidRPr="00CB79C4">
        <w:rPr>
          <w:i/>
        </w:rPr>
        <w:t>4364.0.55.007 -</w:t>
      </w:r>
      <w:r w:rsidRPr="00CB79C4">
        <w:t xml:space="preserve"> </w:t>
      </w:r>
      <w:r w:rsidRPr="00CB79C4">
        <w:rPr>
          <w:i/>
        </w:rPr>
        <w:t>Australian Health Survey: Nutrition First Results - Foods and Nutrients, 2011-12</w:t>
      </w:r>
      <w:r>
        <w:t xml:space="preserve">. Available at: </w:t>
      </w:r>
      <w:hyperlink r:id="rId8" w:history="1">
        <w:r w:rsidRPr="00395E6F">
          <w:rPr>
            <w:rStyle w:val="Hyperlink"/>
          </w:rPr>
          <w:t>https://www.abs.gov.au/ausstats/abs@.nsf/Lookup/by%20Subject/4364.0.55.007~2011-12~Main%20Features~Sodium~715</w:t>
        </w:r>
      </w:hyperlink>
      <w:r>
        <w:t xml:space="preserve"> </w:t>
      </w:r>
    </w:p>
  </w:footnote>
  <w:footnote w:id="14">
    <w:p w14:paraId="4E8EECAD" w14:textId="63E19315" w:rsidR="000F1209" w:rsidRPr="006476D4" w:rsidRDefault="000F1209" w:rsidP="00BB4ECC">
      <w:pPr>
        <w:spacing w:after="0"/>
        <w:rPr>
          <w:rStyle w:val="Hyperlink"/>
          <w:rFonts w:eastAsia="Times New Roman"/>
          <w:sz w:val="20"/>
          <w:szCs w:val="20"/>
        </w:rPr>
      </w:pPr>
      <w:r w:rsidRPr="006476D4">
        <w:rPr>
          <w:rStyle w:val="FootnoteReference"/>
          <w:sz w:val="20"/>
          <w:szCs w:val="20"/>
        </w:rPr>
        <w:footnoteRef/>
      </w:r>
      <w:r w:rsidRPr="006476D4">
        <w:rPr>
          <w:sz w:val="20"/>
          <w:szCs w:val="20"/>
        </w:rPr>
        <w:t xml:space="preserve"> </w:t>
      </w:r>
      <w:r w:rsidRPr="00D43A05">
        <w:rPr>
          <w:rFonts w:eastAsia="Times New Roman"/>
          <w:sz w:val="20"/>
          <w:szCs w:val="20"/>
        </w:rPr>
        <w:t xml:space="preserve">McLean RM, </w:t>
      </w:r>
      <w:r w:rsidRPr="00B70627">
        <w:rPr>
          <w:rFonts w:eastAsia="Times New Roman"/>
          <w:i/>
          <w:sz w:val="20"/>
          <w:szCs w:val="20"/>
        </w:rPr>
        <w:t>et al.</w:t>
      </w:r>
      <w:r w:rsidRPr="00D43A05">
        <w:rPr>
          <w:rFonts w:eastAsia="Times New Roman"/>
          <w:sz w:val="20"/>
          <w:szCs w:val="20"/>
        </w:rPr>
        <w:t xml:space="preserve"> </w:t>
      </w:r>
      <w:r>
        <w:rPr>
          <w:rFonts w:eastAsia="Times New Roman"/>
          <w:sz w:val="20"/>
          <w:szCs w:val="20"/>
        </w:rPr>
        <w:t>(2018). ‘</w:t>
      </w:r>
      <w:r w:rsidRPr="00D43A05">
        <w:rPr>
          <w:rFonts w:eastAsia="Times New Roman"/>
          <w:sz w:val="20"/>
          <w:szCs w:val="20"/>
        </w:rPr>
        <w:t>Spot urine and 24-h diet recall estimates of dietary sodium intake from the 2008/09 New Zealand Adult Nutrition Survey: a comparison</w:t>
      </w:r>
      <w:r>
        <w:rPr>
          <w:rFonts w:eastAsia="Times New Roman"/>
          <w:sz w:val="20"/>
          <w:szCs w:val="20"/>
        </w:rPr>
        <w:t>’</w:t>
      </w:r>
      <w:r w:rsidRPr="00D43A05">
        <w:rPr>
          <w:rFonts w:eastAsia="Times New Roman"/>
          <w:sz w:val="20"/>
          <w:szCs w:val="20"/>
        </w:rPr>
        <w:t>.</w:t>
      </w:r>
      <w:r w:rsidRPr="00D43A05">
        <w:rPr>
          <w:rFonts w:eastAsia="Times New Roman"/>
          <w:i/>
          <w:iCs/>
          <w:sz w:val="20"/>
          <w:szCs w:val="20"/>
        </w:rPr>
        <w:t xml:space="preserve"> European Journal of Clinical Nutrition</w:t>
      </w:r>
      <w:r>
        <w:rPr>
          <w:rFonts w:eastAsia="Times New Roman"/>
          <w:sz w:val="20"/>
          <w:szCs w:val="20"/>
        </w:rPr>
        <w:t xml:space="preserve">, </w:t>
      </w:r>
      <w:r w:rsidRPr="00D43A05">
        <w:rPr>
          <w:rFonts w:eastAsia="Times New Roman"/>
          <w:sz w:val="20"/>
          <w:szCs w:val="20"/>
        </w:rPr>
        <w:t>72:1120-1127.</w:t>
      </w:r>
    </w:p>
  </w:footnote>
  <w:footnote w:id="15">
    <w:p w14:paraId="5C1A93EB" w14:textId="4DA27662" w:rsidR="000F1209" w:rsidRPr="00CB79C4" w:rsidRDefault="000F1209" w:rsidP="00BB4ECC">
      <w:pPr>
        <w:spacing w:after="0"/>
        <w:rPr>
          <w:sz w:val="20"/>
          <w:szCs w:val="20"/>
        </w:rPr>
      </w:pPr>
      <w:r w:rsidRPr="006476D4">
        <w:rPr>
          <w:rStyle w:val="FootnoteReference"/>
          <w:sz w:val="20"/>
          <w:szCs w:val="20"/>
        </w:rPr>
        <w:footnoteRef/>
      </w:r>
      <w:r w:rsidRPr="006476D4">
        <w:rPr>
          <w:sz w:val="20"/>
          <w:szCs w:val="20"/>
        </w:rPr>
        <w:t xml:space="preserve"> Austral</w:t>
      </w:r>
      <w:r>
        <w:rPr>
          <w:sz w:val="20"/>
          <w:szCs w:val="20"/>
        </w:rPr>
        <w:t>ian Bureau of Statistics (ABS) (2016)</w:t>
      </w:r>
      <w:r w:rsidRPr="00CB79C4">
        <w:rPr>
          <w:sz w:val="20"/>
          <w:szCs w:val="20"/>
        </w:rPr>
        <w:t xml:space="preserve"> </w:t>
      </w:r>
      <w:r w:rsidRPr="00CB79C4">
        <w:rPr>
          <w:i/>
          <w:sz w:val="20"/>
          <w:szCs w:val="20"/>
        </w:rPr>
        <w:t>4364.0.55.007 -</w:t>
      </w:r>
      <w:r w:rsidRPr="00CB79C4">
        <w:rPr>
          <w:sz w:val="20"/>
          <w:szCs w:val="20"/>
        </w:rPr>
        <w:t xml:space="preserve"> </w:t>
      </w:r>
      <w:r w:rsidRPr="00CB79C4">
        <w:rPr>
          <w:i/>
          <w:iCs/>
          <w:sz w:val="20"/>
          <w:szCs w:val="20"/>
        </w:rPr>
        <w:t xml:space="preserve">Australian Health Survey: Nutrition First Results </w:t>
      </w:r>
      <w:r>
        <w:rPr>
          <w:i/>
          <w:iCs/>
          <w:sz w:val="20"/>
          <w:szCs w:val="20"/>
        </w:rPr>
        <w:t xml:space="preserve">- Foods and Nutrients, 2011-12. </w:t>
      </w:r>
      <w:r>
        <w:rPr>
          <w:iCs/>
          <w:sz w:val="20"/>
          <w:szCs w:val="20"/>
        </w:rPr>
        <w:t xml:space="preserve">Available at: </w:t>
      </w:r>
      <w:hyperlink r:id="rId9" w:history="1">
        <w:r w:rsidRPr="00395E6F">
          <w:rPr>
            <w:rStyle w:val="Hyperlink"/>
            <w:iCs/>
            <w:sz w:val="20"/>
            <w:szCs w:val="20"/>
          </w:rPr>
          <w:t>https://www.abs.gov.au/ausstats/abs@.nsf/Lookup/by%20Subject/4364.0.55.007~2011-12~Main%20Features~Sodium~715</w:t>
        </w:r>
      </w:hyperlink>
      <w:r>
        <w:rPr>
          <w:iCs/>
          <w:sz w:val="20"/>
          <w:szCs w:val="20"/>
        </w:rPr>
        <w:t xml:space="preserve"> </w:t>
      </w:r>
    </w:p>
  </w:footnote>
  <w:footnote w:id="16">
    <w:p w14:paraId="10A1E2BE" w14:textId="1ABD89BE" w:rsidR="000F1209" w:rsidRPr="00760215" w:rsidRDefault="000F1209">
      <w:pPr>
        <w:pStyle w:val="FootnoteText"/>
      </w:pPr>
      <w:r>
        <w:rPr>
          <w:rStyle w:val="FootnoteReference"/>
        </w:rPr>
        <w:footnoteRef/>
      </w:r>
      <w:r>
        <w:t xml:space="preserve"> Australian Institute of Health and Welfare (AIHW) (2020), </w:t>
      </w:r>
      <w:r>
        <w:rPr>
          <w:i/>
        </w:rPr>
        <w:t>Overweight and Obesity.</w:t>
      </w:r>
      <w:r>
        <w:t xml:space="preserve"> Available at: </w:t>
      </w:r>
      <w:hyperlink r:id="rId10" w:history="1">
        <w:r>
          <w:rPr>
            <w:rStyle w:val="Hyperlink"/>
          </w:rPr>
          <w:t>https://www.aihw.gov.au/reports-data/behaviours-risk-factors/overweight-obesity/overview</w:t>
        </w:r>
      </w:hyperlink>
    </w:p>
  </w:footnote>
  <w:footnote w:id="17">
    <w:p w14:paraId="3737289E" w14:textId="5E902DA2" w:rsidR="000F1209" w:rsidRPr="00F52D8B" w:rsidRDefault="000F1209">
      <w:pPr>
        <w:pStyle w:val="FootnoteText"/>
        <w:rPr>
          <w:lang w:val="en-NZ"/>
        </w:rPr>
      </w:pPr>
      <w:r>
        <w:rPr>
          <w:rStyle w:val="FootnoteReference"/>
        </w:rPr>
        <w:footnoteRef/>
      </w:r>
      <w:r>
        <w:t xml:space="preserve"> New Zealand </w:t>
      </w:r>
      <w:r>
        <w:rPr>
          <w:lang w:val="en-NZ"/>
        </w:rPr>
        <w:t xml:space="preserve">Ministry of Health (2019), </w:t>
      </w:r>
      <w:r w:rsidRPr="00BB4ECC">
        <w:rPr>
          <w:i/>
          <w:lang w:val="en-NZ"/>
        </w:rPr>
        <w:t>New Zealand Health Survey Annual Data Explorer.</w:t>
      </w:r>
      <w:r>
        <w:rPr>
          <w:lang w:val="en-NZ"/>
        </w:rPr>
        <w:t xml:space="preserve"> Available at: </w:t>
      </w:r>
      <w:hyperlink r:id="rId11" w:anchor="!/explore-indicators" w:history="1">
        <w:r>
          <w:rPr>
            <w:rStyle w:val="Hyperlink"/>
          </w:rPr>
          <w:t>https://minhealthnz.shinyapps.io/nz-health-survey-2018-19-annual-data-explorer/_w_39c3fd25/#!/explore-indicators</w:t>
        </w:r>
      </w:hyperlink>
      <w:r>
        <w:t xml:space="preserve"> </w:t>
      </w:r>
    </w:p>
  </w:footnote>
  <w:footnote w:id="18">
    <w:p w14:paraId="3814751E" w14:textId="75338818" w:rsidR="000F1209" w:rsidRPr="00F52D8B" w:rsidRDefault="000F1209">
      <w:pPr>
        <w:pStyle w:val="FootnoteText"/>
        <w:rPr>
          <w:lang w:val="en-NZ"/>
        </w:rPr>
      </w:pPr>
      <w:r>
        <w:rPr>
          <w:rStyle w:val="FootnoteReference"/>
        </w:rPr>
        <w:footnoteRef/>
      </w:r>
      <w:r>
        <w:t xml:space="preserve"> </w:t>
      </w:r>
      <w:r>
        <w:rPr>
          <w:lang w:val="en-NZ"/>
        </w:rPr>
        <w:t xml:space="preserve">Ministry of Health (2019), </w:t>
      </w:r>
      <w:r w:rsidRPr="00BB4ECC">
        <w:rPr>
          <w:i/>
          <w:lang w:val="en-NZ"/>
        </w:rPr>
        <w:t>Obesity statistics</w:t>
      </w:r>
      <w:r>
        <w:rPr>
          <w:lang w:val="en-NZ"/>
        </w:rPr>
        <w:t xml:space="preserve">. Available at: </w:t>
      </w:r>
      <w:hyperlink r:id="rId12" w:history="1">
        <w:r>
          <w:rPr>
            <w:rStyle w:val="Hyperlink"/>
          </w:rPr>
          <w:t>https://www.health.govt.nz/nz-health-statistics/health-statistics-and-data-sets/obesity-statistics</w:t>
        </w:r>
      </w:hyperlink>
      <w:r>
        <w:t xml:space="preserve"> </w:t>
      </w:r>
    </w:p>
  </w:footnote>
  <w:footnote w:id="19">
    <w:p w14:paraId="69E48ED9" w14:textId="01B2839B" w:rsidR="000F1209" w:rsidRPr="00F52D8B" w:rsidRDefault="000F1209">
      <w:pPr>
        <w:pStyle w:val="FootnoteText"/>
        <w:rPr>
          <w:lang w:val="en-NZ"/>
        </w:rPr>
      </w:pPr>
      <w:r>
        <w:rPr>
          <w:rStyle w:val="FootnoteReference"/>
        </w:rPr>
        <w:footnoteRef/>
      </w:r>
      <w:r>
        <w:t xml:space="preserve"> OECD (2020. Overweight or obese population. Doi: ft</w:t>
      </w:r>
      <w:r w:rsidRPr="00862169">
        <w:rPr>
          <w:rFonts w:eastAsia="Times New Roman" w:cstheme="minorHAnsi"/>
          <w:lang w:eastAsia="en-NZ"/>
        </w:rPr>
        <w:t>10.1787/86583552-en</w:t>
      </w:r>
    </w:p>
  </w:footnote>
  <w:footnote w:id="20">
    <w:p w14:paraId="65F8B97E" w14:textId="77777777" w:rsidR="000F1209" w:rsidRPr="004960A6" w:rsidRDefault="000F1209" w:rsidP="00DE6703">
      <w:pPr>
        <w:pStyle w:val="FootnoteText"/>
      </w:pPr>
      <w:r w:rsidRPr="004960A6">
        <w:rPr>
          <w:rStyle w:val="FootnoteReference"/>
        </w:rPr>
        <w:footnoteRef/>
      </w:r>
      <w:r w:rsidRPr="004960A6">
        <w:t xml:space="preserve"> Australian Institute of Health and Welfare (AIHW) (2016) </w:t>
      </w:r>
      <w:r w:rsidRPr="004960A6">
        <w:rPr>
          <w:i/>
          <w:iCs/>
        </w:rPr>
        <w:t>Australia’s health 2016</w:t>
      </w:r>
      <w:r w:rsidRPr="004960A6">
        <w:t>. Australia’s health series no. 15. Cat. no. AUS 199. Available at: https://www.aihw.gov.au/getmedia/384eafec-fa90-412d-8c98-b279fddc7911/ah16-4-4-overweight-obesity.pdf.aspx</w:t>
      </w:r>
    </w:p>
  </w:footnote>
  <w:footnote w:id="21">
    <w:p w14:paraId="11F0F303" w14:textId="19627300" w:rsidR="000F1209" w:rsidRDefault="000F1209" w:rsidP="00DE6703">
      <w:pPr>
        <w:pStyle w:val="FootnoteText"/>
      </w:pPr>
      <w:r>
        <w:rPr>
          <w:rStyle w:val="FootnoteReference"/>
        </w:rPr>
        <w:footnoteRef/>
      </w:r>
      <w:r>
        <w:t xml:space="preserve"> Australian Bureau of Statistics (ABS) (2018) </w:t>
      </w:r>
      <w:r>
        <w:rPr>
          <w:lang w:val="en"/>
        </w:rPr>
        <w:t xml:space="preserve">4364.0.55.001 - National Health Survey: First Results, 2017-18. Available at: </w:t>
      </w:r>
      <w:hyperlink r:id="rId13" w:history="1">
        <w:r w:rsidRPr="005E63EB">
          <w:rPr>
            <w:rStyle w:val="Hyperlink"/>
            <w:lang w:val="en"/>
          </w:rPr>
          <w:t>https://www.abs.gov.au/ausstats/abs@.nsf/Lookup/by%20Subject/4364.0.55.001~2017-18~Main%20Features~More%20than%20two%20thirds%20of%20Australians%20now%20overweight%20or%20obese%20(Media%20Release)~215</w:t>
        </w:r>
      </w:hyperlink>
      <w:r>
        <w:rPr>
          <w:lang w:val="en"/>
        </w:rPr>
        <w:t xml:space="preserve"> </w:t>
      </w:r>
    </w:p>
  </w:footnote>
  <w:footnote w:id="22">
    <w:p w14:paraId="63A78491" w14:textId="2AF36630" w:rsidR="000F1209" w:rsidRDefault="000F1209" w:rsidP="00DE6703">
      <w:pPr>
        <w:pStyle w:val="FootnoteText"/>
      </w:pPr>
      <w:r>
        <w:rPr>
          <w:rStyle w:val="FootnoteReference"/>
        </w:rPr>
        <w:footnoteRef/>
      </w:r>
      <w:r>
        <w:t xml:space="preserve"> </w:t>
      </w:r>
      <w:r w:rsidRPr="006476D4">
        <w:t>Austral</w:t>
      </w:r>
      <w:r>
        <w:t>ian Bureau of Statistics (ABS) (2018)</w:t>
      </w:r>
      <w:r w:rsidRPr="00CB79C4">
        <w:t xml:space="preserve"> </w:t>
      </w:r>
      <w:r w:rsidRPr="00DE6703">
        <w:rPr>
          <w:i/>
          <w:lang w:val="en"/>
        </w:rPr>
        <w:t>4364.0.55.001 - National Health Survey: First Results, 2017-18</w:t>
      </w:r>
      <w:r>
        <w:rPr>
          <w:sz w:val="16"/>
          <w:szCs w:val="16"/>
          <w:lang w:val="en"/>
        </w:rPr>
        <w:t>.</w:t>
      </w:r>
      <w:r>
        <w:rPr>
          <w:i/>
          <w:iCs/>
        </w:rPr>
        <w:t xml:space="preserve"> </w:t>
      </w:r>
      <w:r>
        <w:rPr>
          <w:iCs/>
        </w:rPr>
        <w:t xml:space="preserve">Available at: </w:t>
      </w:r>
      <w:hyperlink r:id="rId14" w:history="1">
        <w:r w:rsidRPr="005E63EB">
          <w:rPr>
            <w:rStyle w:val="Hyperlink"/>
            <w:iCs/>
          </w:rPr>
          <w:t>https://www.abs.gov.au/ausstats/abs@.nsf/Lookup/by%20Subject/4364.0.55.001~2017-18~Main%20Features~Children's%20risk%20factors~120</w:t>
        </w:r>
      </w:hyperlink>
      <w:r>
        <w:rPr>
          <w:iCs/>
        </w:rPr>
        <w:t xml:space="preserve"> </w:t>
      </w:r>
    </w:p>
  </w:footnote>
  <w:footnote w:id="23">
    <w:p w14:paraId="68F370F6" w14:textId="561310AA" w:rsidR="000F1209" w:rsidRPr="00AA176D" w:rsidRDefault="000F1209" w:rsidP="00AA176D">
      <w:pPr>
        <w:pStyle w:val="FootnoteText"/>
        <w:rPr>
          <w:sz w:val="18"/>
          <w:szCs w:val="18"/>
        </w:rPr>
      </w:pPr>
      <w:r w:rsidRPr="006476D4">
        <w:rPr>
          <w:rStyle w:val="FootnoteReference"/>
        </w:rPr>
        <w:footnoteRef/>
      </w:r>
      <w:r w:rsidRPr="006476D4">
        <w:t>Institute of Health Metrics and Evaluation (IHME)</w:t>
      </w:r>
      <w:r>
        <w:t xml:space="preserve"> (2020)</w:t>
      </w:r>
      <w:r w:rsidRPr="006476D4">
        <w:t xml:space="preserve">, </w:t>
      </w:r>
      <w:r w:rsidRPr="00C86106">
        <w:rPr>
          <w:i/>
          <w:iCs/>
        </w:rPr>
        <w:t>Global Burden of Disease 2017</w:t>
      </w:r>
      <w:r>
        <w:rPr>
          <w:sz w:val="18"/>
          <w:szCs w:val="18"/>
        </w:rPr>
        <w:t xml:space="preserve">. Available at: </w:t>
      </w:r>
      <w:hyperlink r:id="rId15" w:history="1">
        <w:r w:rsidRPr="00906ACB">
          <w:rPr>
            <w:rStyle w:val="Hyperlink"/>
            <w:sz w:val="18"/>
            <w:szCs w:val="18"/>
          </w:rPr>
          <w:t>http://ihmeuw.org/52z8</w:t>
        </w:r>
      </w:hyperlink>
      <w:r>
        <w:rPr>
          <w:sz w:val="18"/>
          <w:szCs w:val="18"/>
        </w:rPr>
        <w:t xml:space="preserve"> </w:t>
      </w:r>
    </w:p>
  </w:footnote>
  <w:footnote w:id="24">
    <w:p w14:paraId="7FC9AF9A" w14:textId="44321EE7" w:rsidR="000F1209" w:rsidRDefault="000F1209">
      <w:pPr>
        <w:pStyle w:val="FootnoteText"/>
        <w:rPr>
          <w:lang w:val="en-NZ"/>
        </w:rPr>
      </w:pPr>
      <w:r>
        <w:rPr>
          <w:rStyle w:val="FootnoteReference"/>
        </w:rPr>
        <w:footnoteRef/>
      </w:r>
      <w:r>
        <w:t xml:space="preserve"> Highlighted d</w:t>
      </w:r>
      <w:proofErr w:type="spellStart"/>
      <w:r>
        <w:rPr>
          <w:lang w:val="en-NZ"/>
        </w:rPr>
        <w:t>ietary</w:t>
      </w:r>
      <w:proofErr w:type="spellEnd"/>
      <w:r>
        <w:rPr>
          <w:lang w:val="en-NZ"/>
        </w:rPr>
        <w:t xml:space="preserve"> risks include diets low in fruits, vegetables, legumes, whole grains, nuts and seeds, fibre, seafood omega 3 fatty acids, and polyunsaturated fatty acids and diets high in processed meat, sugar sweetened beverages, trans fatty acids, and sodium. </w:t>
      </w:r>
    </w:p>
    <w:p w14:paraId="2F230730" w14:textId="027C15AB" w:rsidR="000F1209" w:rsidRPr="00F52D8B" w:rsidRDefault="000F1209">
      <w:pPr>
        <w:pStyle w:val="FootnoteText"/>
        <w:rPr>
          <w:lang w:val="en-NZ"/>
        </w:rPr>
      </w:pPr>
    </w:p>
  </w:footnote>
  <w:footnote w:id="25">
    <w:p w14:paraId="0283BE02" w14:textId="1CAD86A5" w:rsidR="000F1209" w:rsidRDefault="000F1209" w:rsidP="00081645">
      <w:pPr>
        <w:pStyle w:val="FootnoteText"/>
      </w:pPr>
      <w:r>
        <w:rPr>
          <w:rStyle w:val="FootnoteReference"/>
        </w:rPr>
        <w:footnoteRef/>
      </w:r>
      <w:r>
        <w:t xml:space="preserve"> </w:t>
      </w:r>
      <w:r w:rsidRPr="00216C16">
        <w:t xml:space="preserve">World Health Organization (WHO) </w:t>
      </w:r>
      <w:r>
        <w:t>(</w:t>
      </w:r>
      <w:r w:rsidRPr="00216C16">
        <w:t>2019</w:t>
      </w:r>
      <w:r>
        <w:t>)</w:t>
      </w:r>
      <w:r w:rsidRPr="00216C16">
        <w:t xml:space="preserve"> </w:t>
      </w:r>
      <w:r w:rsidRPr="00A6756F">
        <w:rPr>
          <w:i/>
        </w:rPr>
        <w:t>Essential Nutrition Actions: Mainstreaming nutrition through the life-course</w:t>
      </w:r>
      <w:r>
        <w:t xml:space="preserve">. Available at: </w:t>
      </w:r>
      <w:r w:rsidRPr="002E4553">
        <w:t>https://apps.who.int/iris/bitstream/handle/10665/326261/9789241515856-eng.pdf</w:t>
      </w:r>
    </w:p>
  </w:footnote>
  <w:footnote w:id="26">
    <w:p w14:paraId="18E48FEB" w14:textId="0C278805" w:rsidR="000F1209" w:rsidRDefault="000F1209" w:rsidP="00081645">
      <w:pPr>
        <w:spacing w:after="0"/>
      </w:pPr>
      <w:r w:rsidRPr="2CF3C489">
        <w:rPr>
          <w:rStyle w:val="FootnoteReference"/>
        </w:rPr>
        <w:footnoteRef/>
      </w:r>
      <w:r>
        <w:t xml:space="preserve"> </w:t>
      </w:r>
      <w:r w:rsidRPr="009D475D">
        <w:rPr>
          <w:sz w:val="20"/>
          <w:szCs w:val="20"/>
        </w:rPr>
        <w:t>National</w:t>
      </w:r>
      <w:r>
        <w:rPr>
          <w:sz w:val="20"/>
          <w:szCs w:val="20"/>
        </w:rPr>
        <w:t xml:space="preserve"> Heart Foundation of Australia (2012)</w:t>
      </w:r>
      <w:r w:rsidRPr="009D475D">
        <w:rPr>
          <w:sz w:val="20"/>
          <w:szCs w:val="20"/>
        </w:rPr>
        <w:t xml:space="preserve"> </w:t>
      </w:r>
      <w:r w:rsidRPr="001B74B8">
        <w:rPr>
          <w:i/>
          <w:iCs/>
          <w:sz w:val="20"/>
          <w:szCs w:val="20"/>
        </w:rPr>
        <w:t>Effectiveness of food reformulation as a strategy to improve population health</w:t>
      </w:r>
      <w:r w:rsidRPr="001B74B8">
        <w:rPr>
          <w:sz w:val="20"/>
          <w:szCs w:val="20"/>
        </w:rPr>
        <w:t>.</w:t>
      </w:r>
      <w:r w:rsidRPr="009D475D">
        <w:rPr>
          <w:sz w:val="20"/>
          <w:szCs w:val="20"/>
        </w:rPr>
        <w:t xml:space="preserve"> </w:t>
      </w:r>
      <w:r>
        <w:rPr>
          <w:sz w:val="20"/>
          <w:szCs w:val="20"/>
        </w:rPr>
        <w:t xml:space="preserve">Available at: </w:t>
      </w:r>
      <w:hyperlink r:id="rId16" w:history="1">
        <w:r w:rsidRPr="00395E6F">
          <w:rPr>
            <w:rStyle w:val="Hyperlink"/>
            <w:sz w:val="20"/>
            <w:szCs w:val="20"/>
          </w:rPr>
          <w:t>https://www.heartfoundation.org.au/getmedia/2bcb1637-1a86-48fc-bb6c-b243c4746272/RapidReview_FoodReformulation.pdf</w:t>
        </w:r>
      </w:hyperlink>
      <w:r>
        <w:rPr>
          <w:sz w:val="20"/>
          <w:szCs w:val="20"/>
        </w:rPr>
        <w:t xml:space="preserve"> </w:t>
      </w:r>
    </w:p>
  </w:footnote>
  <w:footnote w:id="27">
    <w:p w14:paraId="57F84232" w14:textId="7B313984" w:rsidR="000F1209" w:rsidRDefault="000F1209" w:rsidP="002E4553">
      <w:pPr>
        <w:pStyle w:val="FootnoteText"/>
      </w:pPr>
      <w:r>
        <w:rPr>
          <w:rStyle w:val="FootnoteReference"/>
        </w:rPr>
        <w:footnoteRef/>
      </w:r>
      <w:r>
        <w:t xml:space="preserve"> McKinsey Global Institute (2014) </w:t>
      </w:r>
      <w:r>
        <w:rPr>
          <w:i/>
          <w:iCs/>
        </w:rPr>
        <w:t xml:space="preserve">Overcoming </w:t>
      </w:r>
      <w:proofErr w:type="gramStart"/>
      <w:r>
        <w:rPr>
          <w:i/>
          <w:iCs/>
        </w:rPr>
        <w:t>obesity :</w:t>
      </w:r>
      <w:proofErr w:type="gramEnd"/>
      <w:r>
        <w:rPr>
          <w:i/>
          <w:iCs/>
        </w:rPr>
        <w:t xml:space="preserve"> An initial economic analysis Discussion paper</w:t>
      </w:r>
      <w:r>
        <w:t xml:space="preserve">, </w:t>
      </w:r>
      <w:r>
        <w:rPr>
          <w:i/>
          <w:iCs/>
        </w:rPr>
        <w:t>McKinsey Global Institute</w:t>
      </w:r>
      <w:r>
        <w:t xml:space="preserve">. Available at: </w:t>
      </w:r>
      <w:hyperlink r:id="rId17" w:history="1">
        <w:r w:rsidRPr="001B74B8">
          <w:rPr>
            <w:rStyle w:val="Hyperlink"/>
          </w:rPr>
          <w:t>https://www.mckinsey.com/~/media/mckinsey/business functions/economic studies temp/our insights/how the world could better fight obesity/mgi_overcoming_obesity_full_report.ashx</w:t>
        </w:r>
      </w:hyperlink>
    </w:p>
  </w:footnote>
  <w:footnote w:id="28">
    <w:p w14:paraId="0E6FD8AE" w14:textId="5A81C07E" w:rsidR="000F1209" w:rsidRDefault="000F1209" w:rsidP="00081645">
      <w:pPr>
        <w:pStyle w:val="FootnoteText"/>
      </w:pPr>
      <w:r>
        <w:rPr>
          <w:rStyle w:val="FootnoteReference"/>
        </w:rPr>
        <w:footnoteRef/>
      </w:r>
      <w:r>
        <w:t xml:space="preserve"> Sacks, G. </w:t>
      </w:r>
      <w:r>
        <w:rPr>
          <w:i/>
          <w:iCs/>
        </w:rPr>
        <w:t>et al.</w:t>
      </w:r>
      <w:r>
        <w:t xml:space="preserve"> (2019) </w:t>
      </w:r>
      <w:r>
        <w:rPr>
          <w:i/>
          <w:iCs/>
        </w:rPr>
        <w:t>Population-level strategies to support healthy weight: A rapid review brokered by the Sax Institute for Queensland Health</w:t>
      </w:r>
      <w:r>
        <w:t xml:space="preserve">. Available at: </w:t>
      </w:r>
      <w:hyperlink r:id="rId18" w:history="1">
        <w:r w:rsidRPr="00395E6F">
          <w:rPr>
            <w:rStyle w:val="Hyperlink"/>
          </w:rPr>
          <w:t>https://www.saxinstitute.org.au/wp-content/uploads/19.11_Evidence-Check_Population-level-strategies-to-support-healthy-weight.pdf</w:t>
        </w:r>
      </w:hyperlink>
      <w:r>
        <w:t xml:space="preserve">. </w:t>
      </w:r>
    </w:p>
  </w:footnote>
  <w:footnote w:id="29">
    <w:p w14:paraId="24D684A4" w14:textId="2A312B7A" w:rsidR="000F1209" w:rsidRPr="006B18E4" w:rsidRDefault="000F1209" w:rsidP="00E94079">
      <w:pPr>
        <w:shd w:val="clear" w:color="auto" w:fill="FFFFFF"/>
        <w:spacing w:after="0"/>
        <w:rPr>
          <w:sz w:val="20"/>
          <w:szCs w:val="20"/>
        </w:rPr>
      </w:pPr>
      <w:r>
        <w:rPr>
          <w:rStyle w:val="FootnoteReference"/>
        </w:rPr>
        <w:footnoteRef/>
      </w:r>
      <w:r>
        <w:t xml:space="preserve"> </w:t>
      </w:r>
      <w:r w:rsidRPr="006B18E4">
        <w:rPr>
          <w:sz w:val="20"/>
          <w:szCs w:val="20"/>
        </w:rPr>
        <w:t>Nghiem</w:t>
      </w:r>
      <w:r>
        <w:rPr>
          <w:sz w:val="20"/>
          <w:szCs w:val="20"/>
        </w:rPr>
        <w:t>,</w:t>
      </w:r>
      <w:r w:rsidRPr="006B18E4">
        <w:rPr>
          <w:sz w:val="20"/>
          <w:szCs w:val="20"/>
        </w:rPr>
        <w:t xml:space="preserve"> N</w:t>
      </w:r>
      <w:r>
        <w:rPr>
          <w:sz w:val="20"/>
          <w:szCs w:val="20"/>
        </w:rPr>
        <w:t>.</w:t>
      </w:r>
      <w:r w:rsidRPr="006B18E4">
        <w:rPr>
          <w:sz w:val="20"/>
          <w:szCs w:val="20"/>
        </w:rPr>
        <w:t xml:space="preserve"> </w:t>
      </w:r>
      <w:r w:rsidRPr="00E94079">
        <w:rPr>
          <w:i/>
          <w:sz w:val="20"/>
          <w:szCs w:val="20"/>
        </w:rPr>
        <w:t>et al</w:t>
      </w:r>
      <w:r w:rsidRPr="006B18E4">
        <w:rPr>
          <w:sz w:val="20"/>
          <w:szCs w:val="20"/>
        </w:rPr>
        <w:t xml:space="preserve"> (2015)</w:t>
      </w:r>
      <w:r>
        <w:rPr>
          <w:sz w:val="20"/>
          <w:szCs w:val="20"/>
        </w:rPr>
        <w:t xml:space="preserve"> ‘</w:t>
      </w:r>
      <w:r w:rsidRPr="006B18E4">
        <w:rPr>
          <w:sz w:val="20"/>
          <w:szCs w:val="20"/>
        </w:rPr>
        <w:t>Health and economic impacts of eight different dietary salt reduction interventions</w:t>
      </w:r>
      <w:r>
        <w:rPr>
          <w:sz w:val="20"/>
          <w:szCs w:val="20"/>
        </w:rPr>
        <w:t>’</w:t>
      </w:r>
      <w:r w:rsidRPr="006B18E4">
        <w:rPr>
          <w:sz w:val="20"/>
          <w:szCs w:val="20"/>
        </w:rPr>
        <w:t xml:space="preserve">. </w:t>
      </w:r>
      <w:proofErr w:type="spellStart"/>
      <w:r>
        <w:rPr>
          <w:i/>
          <w:sz w:val="20"/>
          <w:szCs w:val="20"/>
        </w:rPr>
        <w:t>PLoS</w:t>
      </w:r>
      <w:proofErr w:type="spellEnd"/>
      <w:r>
        <w:rPr>
          <w:i/>
          <w:sz w:val="20"/>
          <w:szCs w:val="20"/>
        </w:rPr>
        <w:t xml:space="preserve"> ONE </w:t>
      </w:r>
      <w:r>
        <w:rPr>
          <w:sz w:val="20"/>
          <w:szCs w:val="20"/>
        </w:rPr>
        <w:t>1</w:t>
      </w:r>
      <w:r w:rsidRPr="006B18E4">
        <w:rPr>
          <w:sz w:val="20"/>
          <w:szCs w:val="20"/>
        </w:rPr>
        <w:t>0(4</w:t>
      </w:r>
      <w:proofErr w:type="gramStart"/>
      <w:r w:rsidRPr="006B18E4">
        <w:rPr>
          <w:sz w:val="20"/>
          <w:szCs w:val="20"/>
        </w:rPr>
        <w:t>):e</w:t>
      </w:r>
      <w:proofErr w:type="gramEnd"/>
      <w:r w:rsidRPr="006B18E4">
        <w:rPr>
          <w:sz w:val="20"/>
          <w:szCs w:val="20"/>
        </w:rPr>
        <w:t>0123915</w:t>
      </w:r>
      <w:r>
        <w:rPr>
          <w:sz w:val="20"/>
          <w:szCs w:val="20"/>
        </w:rPr>
        <w:t xml:space="preserve"> </w:t>
      </w:r>
      <w:proofErr w:type="spellStart"/>
      <w:r w:rsidRPr="006B18E4">
        <w:rPr>
          <w:sz w:val="20"/>
          <w:szCs w:val="20"/>
        </w:rPr>
        <w:t>doi</w:t>
      </w:r>
      <w:proofErr w:type="spellEnd"/>
      <w:r w:rsidRPr="006B18E4">
        <w:rPr>
          <w:sz w:val="20"/>
          <w:szCs w:val="20"/>
        </w:rPr>
        <w:t>: 10.1371/journal.pone.0123915.</w:t>
      </w:r>
      <w:r>
        <w:rPr>
          <w:rFonts w:ascii="Segoe UI" w:eastAsia="Times New Roman" w:hAnsi="Segoe UI" w:cs="Segoe UI"/>
          <w:color w:val="5B616B"/>
          <w:shd w:val="clear" w:color="auto" w:fill="FFFFFF"/>
          <w:lang w:val="en-NZ" w:eastAsia="en-NZ"/>
        </w:rPr>
        <w:t xml:space="preserve"> </w:t>
      </w:r>
    </w:p>
  </w:footnote>
  <w:footnote w:id="30">
    <w:p w14:paraId="67BB209F" w14:textId="0C633D5A" w:rsidR="000F1209" w:rsidRPr="006476D4" w:rsidRDefault="000F1209" w:rsidP="00E94079">
      <w:pPr>
        <w:pStyle w:val="FootnoteText"/>
      </w:pPr>
      <w:r w:rsidRPr="006476D4">
        <w:rPr>
          <w:rStyle w:val="FootnoteReference"/>
        </w:rPr>
        <w:footnoteRef/>
      </w:r>
      <w:r w:rsidRPr="006476D4">
        <w:t xml:space="preserve"> World Health Organization (WHO) 2019, </w:t>
      </w:r>
      <w:r w:rsidRPr="001B74B8">
        <w:rPr>
          <w:i/>
        </w:rPr>
        <w:t>Essential Nutrition Actions: Mainstreaming nutrition through the life-course</w:t>
      </w:r>
      <w:r w:rsidRPr="006476D4">
        <w:t>.</w:t>
      </w:r>
      <w:r>
        <w:t xml:space="preserve"> Available at: </w:t>
      </w:r>
      <w:hyperlink r:id="rId19" w:history="1">
        <w:r w:rsidRPr="00395E6F">
          <w:rPr>
            <w:rStyle w:val="Hyperlink"/>
          </w:rPr>
          <w:t>https://apps.who.int/iris/bitstream/handle/10665/326261/9789241515856-eng.pdf</w:t>
        </w:r>
      </w:hyperlink>
      <w:r>
        <w:t xml:space="preserve"> </w:t>
      </w:r>
    </w:p>
  </w:footnote>
  <w:footnote w:id="31">
    <w:p w14:paraId="481166FA" w14:textId="432C287E" w:rsidR="000F1209" w:rsidRPr="006476D4" w:rsidRDefault="000F1209" w:rsidP="00E94079">
      <w:pPr>
        <w:pStyle w:val="FootnoteText"/>
      </w:pPr>
      <w:r w:rsidRPr="006476D4">
        <w:rPr>
          <w:rStyle w:val="FootnoteReference"/>
        </w:rPr>
        <w:footnoteRef/>
      </w:r>
      <w:r w:rsidRPr="006476D4">
        <w:t xml:space="preserve"> </w:t>
      </w:r>
      <w:r>
        <w:t xml:space="preserve">Baum, F. and Fisher, M. (2014) ‘Why behavioural health promotion endures despite its failure to reduce health inequities’, </w:t>
      </w:r>
      <w:r>
        <w:rPr>
          <w:i/>
          <w:iCs/>
        </w:rPr>
        <w:t>Sociology of Health and Illness</w:t>
      </w:r>
      <w:r>
        <w:t xml:space="preserve">, 36(2), pp. 213–225. </w:t>
      </w:r>
      <w:proofErr w:type="spellStart"/>
      <w:r>
        <w:t>doi</w:t>
      </w:r>
      <w:proofErr w:type="spellEnd"/>
      <w:r>
        <w:t>: 10.1111/1467-9566.12112.</w:t>
      </w:r>
    </w:p>
  </w:footnote>
  <w:footnote w:id="32">
    <w:p w14:paraId="01457B69" w14:textId="3FBE6CB5" w:rsidR="000F1209" w:rsidRPr="006476D4" w:rsidRDefault="000F1209" w:rsidP="00E94079">
      <w:pPr>
        <w:pStyle w:val="FootnoteText"/>
        <w:rPr>
          <w:i/>
        </w:rPr>
      </w:pPr>
      <w:r w:rsidRPr="006476D4">
        <w:rPr>
          <w:rStyle w:val="FootnoteReference"/>
        </w:rPr>
        <w:footnoteRef/>
      </w:r>
      <w:r w:rsidRPr="006476D4">
        <w:t xml:space="preserve"> Browne, S</w:t>
      </w:r>
      <w:r>
        <w:t>.</w:t>
      </w:r>
      <w:r w:rsidRPr="006476D4">
        <w:t xml:space="preserve"> </w:t>
      </w:r>
      <w:r w:rsidRPr="00EC454C">
        <w:rPr>
          <w:i/>
        </w:rPr>
        <w:t>et a</w:t>
      </w:r>
      <w:r>
        <w:rPr>
          <w:i/>
        </w:rPr>
        <w:t>l</w:t>
      </w:r>
      <w:r>
        <w:t>. (</w:t>
      </w:r>
      <w:r w:rsidRPr="006476D4">
        <w:t>2018</w:t>
      </w:r>
      <w:r>
        <w:t>)</w:t>
      </w:r>
      <w:r w:rsidRPr="006476D4">
        <w:t>. ‘Effectiveness of interventions aimed at improving dietary behaviours among people at higher risk of or with chronic non-communicable diseases: an overview of systematic reviews, ‘</w:t>
      </w:r>
      <w:r w:rsidRPr="006476D4">
        <w:rPr>
          <w:i/>
        </w:rPr>
        <w:t xml:space="preserve">European Journal of Clinic Nutrition, </w:t>
      </w:r>
      <w:r w:rsidRPr="006476D4">
        <w:t xml:space="preserve">73, pp. 9-23. </w:t>
      </w:r>
    </w:p>
  </w:footnote>
  <w:footnote w:id="33">
    <w:p w14:paraId="18B4832E" w14:textId="55BB3BDB" w:rsidR="000F1209" w:rsidRPr="006476D4" w:rsidRDefault="000F1209" w:rsidP="00E94079">
      <w:pPr>
        <w:pStyle w:val="FootnoteText"/>
      </w:pPr>
      <w:r w:rsidRPr="006476D4">
        <w:rPr>
          <w:rStyle w:val="FootnoteReference"/>
        </w:rPr>
        <w:footnoteRef/>
      </w:r>
      <w:r w:rsidRPr="006476D4">
        <w:t xml:space="preserve"> Adler, A.</w:t>
      </w:r>
      <w:r w:rsidRPr="00F8132C">
        <w:rPr>
          <w:i/>
        </w:rPr>
        <w:t>et al.</w:t>
      </w:r>
      <w:r w:rsidRPr="006476D4">
        <w:t xml:space="preserve"> </w:t>
      </w:r>
      <w:r>
        <w:t>(2014)</w:t>
      </w:r>
      <w:r w:rsidRPr="006476D4">
        <w:t xml:space="preserve"> </w:t>
      </w:r>
      <w:r>
        <w:t>‘</w:t>
      </w:r>
      <w:r w:rsidRPr="006476D4">
        <w:t>Reduced dietary salt for the prevention of cardiovascular disease</w:t>
      </w:r>
      <w:r>
        <w:t>’</w:t>
      </w:r>
      <w:r w:rsidRPr="00F8132C">
        <w:t>. </w:t>
      </w:r>
      <w:r w:rsidRPr="00F8132C">
        <w:rPr>
          <w:i/>
          <w:iCs/>
        </w:rPr>
        <w:t>The Cochrane database of systematic reviews</w:t>
      </w:r>
      <w:r w:rsidRPr="006476D4">
        <w:t>.</w:t>
      </w:r>
      <w:r>
        <w:t xml:space="preserve"> Available at: </w:t>
      </w:r>
      <w:hyperlink r:id="rId20" w:history="1">
        <w:r w:rsidRPr="00395E6F">
          <w:rPr>
            <w:rStyle w:val="Hyperlink"/>
          </w:rPr>
          <w:t>https://doi.org/10.1002/14651858.CD009217.pub3</w:t>
        </w:r>
      </w:hyperlink>
      <w:r>
        <w:t xml:space="preserve"> </w:t>
      </w:r>
    </w:p>
  </w:footnote>
  <w:footnote w:id="34">
    <w:p w14:paraId="6E9B1E79" w14:textId="5E351CD6" w:rsidR="000F1209" w:rsidRPr="006476D4" w:rsidRDefault="000F1209" w:rsidP="00E94079">
      <w:pPr>
        <w:pStyle w:val="FootnoteText"/>
      </w:pPr>
      <w:r w:rsidRPr="006476D4">
        <w:rPr>
          <w:rStyle w:val="FootnoteReference"/>
        </w:rPr>
        <w:footnoteRef/>
      </w:r>
      <w:r w:rsidRPr="006476D4">
        <w:t xml:space="preserve"> World Health Organization (WHO) </w:t>
      </w:r>
      <w:r>
        <w:t>(</w:t>
      </w:r>
      <w:r w:rsidRPr="006476D4">
        <w:t>2009</w:t>
      </w:r>
      <w:r>
        <w:t>)</w:t>
      </w:r>
      <w:r w:rsidRPr="006476D4">
        <w:t xml:space="preserve">. </w:t>
      </w:r>
      <w:r w:rsidRPr="006476D4">
        <w:rPr>
          <w:i/>
        </w:rPr>
        <w:t>Interventions on diet and physical activity: what works? Summary report.</w:t>
      </w:r>
      <w:r w:rsidRPr="006476D4">
        <w:t xml:space="preserve"> Geneva: WHO, 2009.</w:t>
      </w:r>
    </w:p>
  </w:footnote>
  <w:footnote w:id="35">
    <w:p w14:paraId="55C14436" w14:textId="75C29C18" w:rsidR="000F1209" w:rsidRPr="00AA0BFB" w:rsidRDefault="000F1209">
      <w:pPr>
        <w:pStyle w:val="FootnoteText"/>
      </w:pPr>
      <w:r w:rsidRPr="006476D4">
        <w:rPr>
          <w:rStyle w:val="FootnoteReference"/>
        </w:rPr>
        <w:footnoteRef/>
      </w:r>
      <w:r w:rsidRPr="006476D4">
        <w:t xml:space="preserve"> </w:t>
      </w:r>
      <w:r>
        <w:t>The George Institute for Global Health (2019)</w:t>
      </w:r>
      <w:r w:rsidRPr="00AA0BFB">
        <w:t xml:space="preserve"> </w:t>
      </w:r>
      <w:r w:rsidRPr="00AA0BFB">
        <w:rPr>
          <w:i/>
        </w:rPr>
        <w:t>Salt levels in meat alternatives in Australia (2010-2019).</w:t>
      </w:r>
      <w:r w:rsidRPr="00AA0BFB">
        <w:t xml:space="preserve"> Available at: </w:t>
      </w:r>
      <w:hyperlink r:id="rId21" w:history="1">
        <w:r w:rsidRPr="00AA0BFB">
          <w:rPr>
            <w:rStyle w:val="Hyperlink"/>
          </w:rPr>
          <w:t>https://www.georgeinstitute.org/sites/default/files/meat_alternatives_key_findings_report.pdf</w:t>
        </w:r>
      </w:hyperlink>
      <w:r w:rsidRPr="00AA0BFB">
        <w:t xml:space="preserve"> </w:t>
      </w:r>
    </w:p>
  </w:footnote>
  <w:footnote w:id="36">
    <w:p w14:paraId="05ED2886" w14:textId="005618A8" w:rsidR="000F1209" w:rsidRPr="00CF4314" w:rsidRDefault="000F1209">
      <w:pPr>
        <w:pStyle w:val="FootnoteText"/>
        <w:rPr>
          <w:highlight w:val="yellow"/>
        </w:rPr>
      </w:pPr>
      <w:r w:rsidRPr="00AA0BFB">
        <w:rPr>
          <w:rStyle w:val="FootnoteReference"/>
        </w:rPr>
        <w:footnoteRef/>
      </w:r>
      <w:r w:rsidRPr="00AA0BFB">
        <w:t xml:space="preserve"> George Institute for Global Health (2017) </w:t>
      </w:r>
      <w:r w:rsidRPr="00AA0BFB">
        <w:rPr>
          <w:i/>
        </w:rPr>
        <w:t>Key findings report: Changes in sodium levels of bread products in Australia (2010-2017)</w:t>
      </w:r>
      <w:r w:rsidRPr="00AA0BFB">
        <w:t xml:space="preserve">. Available at: </w:t>
      </w:r>
      <w:hyperlink r:id="rId22" w:history="1">
        <w:r w:rsidRPr="00AA0BFB">
          <w:rPr>
            <w:rStyle w:val="Hyperlink"/>
          </w:rPr>
          <w:t>https://www.georgeinstitute.org.au/sites/default/files/salt-in-bread-key-findings-report-2017.pdf</w:t>
        </w:r>
      </w:hyperlink>
      <w:r>
        <w:t xml:space="preserve"> </w:t>
      </w:r>
    </w:p>
  </w:footnote>
  <w:footnote w:id="37">
    <w:p w14:paraId="2B48D1FB" w14:textId="1E55A01B" w:rsidR="000F1209" w:rsidRPr="007F5A58" w:rsidRDefault="000F1209">
      <w:pPr>
        <w:pStyle w:val="FootnoteText"/>
      </w:pPr>
      <w:r w:rsidRPr="00AA0BFB">
        <w:rPr>
          <w:rStyle w:val="FootnoteReference"/>
        </w:rPr>
        <w:footnoteRef/>
      </w:r>
      <w:r w:rsidRPr="00AA0BFB">
        <w:t xml:space="preserve"> </w:t>
      </w:r>
      <w:proofErr w:type="spellStart"/>
      <w:r w:rsidRPr="00AA0BFB">
        <w:t>Grafenauer</w:t>
      </w:r>
      <w:proofErr w:type="spellEnd"/>
      <w:r w:rsidRPr="00AA0BFB">
        <w:t xml:space="preserve"> S, &amp; Curtain F. (2018), ‘An Audit of Australian Bread with a Focus on Loaf Breads and Whole </w:t>
      </w:r>
      <w:r w:rsidRPr="007F5A58">
        <w:t>Grain’. </w:t>
      </w:r>
      <w:r w:rsidRPr="007F5A58">
        <w:rPr>
          <w:i/>
          <w:iCs/>
        </w:rPr>
        <w:t>Nutrients</w:t>
      </w:r>
      <w:r w:rsidRPr="007F5A58">
        <w:t>. 10(8):1106.</w:t>
      </w:r>
    </w:p>
  </w:footnote>
  <w:footnote w:id="38">
    <w:p w14:paraId="180D6E3C" w14:textId="1F956BA7" w:rsidR="000F1209" w:rsidRPr="007F5A58" w:rsidRDefault="000F1209" w:rsidP="00F72A89">
      <w:pPr>
        <w:pStyle w:val="FootnoteText"/>
      </w:pPr>
      <w:r w:rsidRPr="007F5A58">
        <w:rPr>
          <w:rStyle w:val="FootnoteReference"/>
        </w:rPr>
        <w:footnoteRef/>
      </w:r>
      <w:r w:rsidRPr="007F5A58">
        <w:t xml:space="preserve"> </w:t>
      </w:r>
      <w:proofErr w:type="spellStart"/>
      <w:r w:rsidRPr="007F5A58">
        <w:t>Soederberg</w:t>
      </w:r>
      <w:proofErr w:type="spellEnd"/>
      <w:r w:rsidRPr="007F5A58">
        <w:t xml:space="preserve"> Miller, L. M. and Cassady, D. L. (2013) ‘Making Healthy Food Choices Using Nutrition Facts Panels: The’, </w:t>
      </w:r>
      <w:r w:rsidRPr="007F5A58">
        <w:rPr>
          <w:i/>
          <w:iCs/>
        </w:rPr>
        <w:t>Appetite</w:t>
      </w:r>
      <w:r w:rsidRPr="007F5A58">
        <w:t xml:space="preserve">, 59(1), pp. 129–139. </w:t>
      </w:r>
      <w:proofErr w:type="spellStart"/>
      <w:r w:rsidRPr="007F5A58">
        <w:t>doi</w:t>
      </w:r>
      <w:proofErr w:type="spellEnd"/>
      <w:r w:rsidRPr="007F5A58">
        <w:t xml:space="preserve">: 10.1016/j.appet.2012.04.009. </w:t>
      </w:r>
    </w:p>
  </w:footnote>
  <w:footnote w:id="39">
    <w:p w14:paraId="35522552" w14:textId="51F33ED2" w:rsidR="000F1209" w:rsidRPr="00CF4314" w:rsidRDefault="000F1209" w:rsidP="00F72A89">
      <w:pPr>
        <w:pStyle w:val="FootnoteText"/>
        <w:rPr>
          <w:highlight w:val="yellow"/>
        </w:rPr>
      </w:pPr>
      <w:r w:rsidRPr="007F5A58">
        <w:rPr>
          <w:rStyle w:val="FootnoteReference"/>
        </w:rPr>
        <w:footnoteRef/>
      </w:r>
      <w:r w:rsidRPr="007F5A58">
        <w:t xml:space="preserve"> </w:t>
      </w:r>
      <w:proofErr w:type="spellStart"/>
      <w:r w:rsidRPr="007F5A58">
        <w:t>Soederberg</w:t>
      </w:r>
      <w:proofErr w:type="spellEnd"/>
      <w:r w:rsidRPr="007F5A58">
        <w:t xml:space="preserve"> Miller, L. M. and Cassady, D. L. (2015) ‘Food Label Knowledge.</w:t>
      </w:r>
      <w:r>
        <w:t xml:space="preserve"> </w:t>
      </w:r>
      <w:r w:rsidRPr="007F5A58">
        <w:t xml:space="preserve">A systematic review’, </w:t>
      </w:r>
      <w:r w:rsidRPr="007F5A58">
        <w:rPr>
          <w:i/>
          <w:iCs/>
        </w:rPr>
        <w:t>Appetite</w:t>
      </w:r>
      <w:r w:rsidRPr="007F5A58">
        <w:t xml:space="preserve">, 92(1), pp. 207–216. </w:t>
      </w:r>
      <w:proofErr w:type="spellStart"/>
      <w:r w:rsidRPr="007F5A58">
        <w:t>doi</w:t>
      </w:r>
      <w:proofErr w:type="spellEnd"/>
      <w:r w:rsidRPr="007F5A58">
        <w:t>: 10.1016/j.appet.2015.05.029.</w:t>
      </w:r>
    </w:p>
  </w:footnote>
  <w:footnote w:id="40">
    <w:p w14:paraId="669D8062" w14:textId="5E795094" w:rsidR="000F1209" w:rsidRPr="007F5A58" w:rsidRDefault="000F1209">
      <w:pPr>
        <w:pStyle w:val="FootnoteText"/>
        <w:rPr>
          <w:i/>
        </w:rPr>
      </w:pPr>
      <w:r w:rsidRPr="007F5A58">
        <w:rPr>
          <w:rStyle w:val="FootnoteReference"/>
        </w:rPr>
        <w:footnoteRef/>
      </w:r>
      <w:r w:rsidRPr="007F5A58">
        <w:t xml:space="preserve"> Food Standards Australia New Zealand (FSANZ) (2017) ‘Consumer Label Survey 2015 Food Labelling Use and Understanding in Australia and New Zealand’. Available at: </w:t>
      </w:r>
      <w:hyperlink r:id="rId23" w:history="1">
        <w:r w:rsidRPr="007F5A58">
          <w:rPr>
            <w:rStyle w:val="Hyperlink"/>
          </w:rPr>
          <w:t>https://www.foodstandards.gov.au/publications/Documents/Consumer%20label%20survey%202015/consumerlabelsurvey2015.pdf</w:t>
        </w:r>
      </w:hyperlink>
    </w:p>
  </w:footnote>
  <w:footnote w:id="41">
    <w:p w14:paraId="3E97A6DE" w14:textId="472FDCA8" w:rsidR="000F1209" w:rsidRPr="00B97B26" w:rsidRDefault="000F1209">
      <w:pPr>
        <w:pStyle w:val="FootnoteText"/>
      </w:pPr>
      <w:r w:rsidRPr="007F5A58">
        <w:rPr>
          <w:rStyle w:val="FootnoteReference"/>
        </w:rPr>
        <w:footnoteRef/>
      </w:r>
      <w:r w:rsidRPr="007F5A58">
        <w:t xml:space="preserve"> National Heart Foundation of Australia (2018) </w:t>
      </w:r>
      <w:r w:rsidRPr="007F5A58">
        <w:rPr>
          <w:i/>
        </w:rPr>
        <w:t xml:space="preserve">Report on the monitoring of the implementation of the Health Star Rating system: Key findings for Area of Enquiry 2 – Consumer awareness and ability to use the Health Star Rating system correctly. </w:t>
      </w:r>
      <w:r w:rsidRPr="007F5A58">
        <w:t xml:space="preserve">Available at: </w:t>
      </w:r>
      <w:hyperlink r:id="rId24" w:history="1">
        <w:r w:rsidRPr="00B97B26">
          <w:rPr>
            <w:rStyle w:val="Hyperlink"/>
          </w:rPr>
          <w:t>http://www.healthstarrating.gov.au/internet/healthstarrating/publishing.nsf/Content/474CBBEC911CFF01CA25803A007E7B2B/$File/HSR-Area-of-Enquiry-2-Wave-5-July-2018.pdf</w:t>
        </w:r>
      </w:hyperlink>
      <w:r w:rsidRPr="00B97B26">
        <w:t xml:space="preserve"> </w:t>
      </w:r>
    </w:p>
  </w:footnote>
  <w:footnote w:id="42">
    <w:p w14:paraId="2AB919EC" w14:textId="601F6A8D" w:rsidR="000F1209" w:rsidRPr="007F5A58" w:rsidRDefault="000F1209" w:rsidP="00F72A89">
      <w:pPr>
        <w:spacing w:after="0"/>
        <w:rPr>
          <w:sz w:val="20"/>
          <w:szCs w:val="20"/>
          <w:highlight w:val="yellow"/>
        </w:rPr>
      </w:pPr>
      <w:r w:rsidRPr="00B97B26">
        <w:rPr>
          <w:sz w:val="20"/>
          <w:szCs w:val="20"/>
          <w:vertAlign w:val="superscript"/>
        </w:rPr>
        <w:footnoteRef/>
      </w:r>
      <w:r w:rsidRPr="00B97B26">
        <w:rPr>
          <w:sz w:val="20"/>
          <w:szCs w:val="20"/>
        </w:rPr>
        <w:t xml:space="preserve"> </w:t>
      </w:r>
      <w:proofErr w:type="spellStart"/>
      <w:r w:rsidRPr="00B97B26">
        <w:rPr>
          <w:sz w:val="20"/>
          <w:szCs w:val="20"/>
        </w:rPr>
        <w:t>Cowburn</w:t>
      </w:r>
      <w:proofErr w:type="spellEnd"/>
      <w:r w:rsidRPr="00B97B26">
        <w:rPr>
          <w:sz w:val="20"/>
          <w:szCs w:val="20"/>
        </w:rPr>
        <w:t xml:space="preserve">, G. and Stockley, L. (2005) ‘Consumer understanding and use of nutrition labelling: a systematic review’, </w:t>
      </w:r>
      <w:r w:rsidRPr="00B97B26">
        <w:rPr>
          <w:i/>
          <w:iCs/>
          <w:sz w:val="20"/>
          <w:szCs w:val="20"/>
        </w:rPr>
        <w:t>Public Health Nutrition</w:t>
      </w:r>
      <w:r w:rsidRPr="00B97B26">
        <w:rPr>
          <w:sz w:val="20"/>
          <w:szCs w:val="20"/>
        </w:rPr>
        <w:t xml:space="preserve">, 8(1), pp. 21–28. </w:t>
      </w:r>
      <w:proofErr w:type="spellStart"/>
      <w:r w:rsidRPr="00B97B26">
        <w:rPr>
          <w:sz w:val="20"/>
          <w:szCs w:val="20"/>
        </w:rPr>
        <w:t>doi</w:t>
      </w:r>
      <w:proofErr w:type="spellEnd"/>
      <w:r w:rsidRPr="00B97B26">
        <w:rPr>
          <w:sz w:val="20"/>
          <w:szCs w:val="20"/>
        </w:rPr>
        <w:t>: 10.1079/phn2004666.</w:t>
      </w:r>
    </w:p>
  </w:footnote>
  <w:footnote w:id="43">
    <w:p w14:paraId="7BA89980" w14:textId="6C93DF95" w:rsidR="000F1209" w:rsidRPr="00CF4314" w:rsidRDefault="000F1209">
      <w:pPr>
        <w:pStyle w:val="FootnoteText"/>
        <w:rPr>
          <w:highlight w:val="yellow"/>
        </w:rPr>
      </w:pPr>
      <w:r w:rsidRPr="002329A9">
        <w:rPr>
          <w:rStyle w:val="FootnoteReference"/>
        </w:rPr>
        <w:footnoteRef/>
      </w:r>
      <w:r w:rsidRPr="002329A9">
        <w:t xml:space="preserve"> </w:t>
      </w:r>
      <w:r w:rsidRPr="002329A9">
        <w:rPr>
          <w:rFonts w:eastAsia="Calibri"/>
        </w:rPr>
        <w:t>New Zealand Ministry of Health</w:t>
      </w:r>
      <w:r>
        <w:rPr>
          <w:rFonts w:eastAsia="Calibri"/>
        </w:rPr>
        <w:t xml:space="preserve"> 2019. </w:t>
      </w:r>
      <w:r w:rsidRPr="002329A9">
        <w:rPr>
          <w:rFonts w:eastAsia="Calibri"/>
          <w:i/>
        </w:rPr>
        <w:t xml:space="preserve">Annual Update of Key Results 2018/19: New Zealand Health Survey </w:t>
      </w:r>
      <w:r w:rsidRPr="002329A9">
        <w:rPr>
          <w:rFonts w:eastAsia="Calibri"/>
        </w:rPr>
        <w:t xml:space="preserve">Available at: http://www.health.govt.nz/publication/annual-update-key-results-2015-16-new-zealand-health-survey. </w:t>
      </w:r>
    </w:p>
  </w:footnote>
  <w:footnote w:id="44">
    <w:p w14:paraId="7C8D638F" w14:textId="066F047E" w:rsidR="000F1209" w:rsidRPr="00CF4314" w:rsidRDefault="000F1209" w:rsidP="0066657D">
      <w:pPr>
        <w:pStyle w:val="FootnoteText"/>
        <w:rPr>
          <w:rFonts w:cstheme="minorHAnsi"/>
          <w:sz w:val="18"/>
          <w:szCs w:val="18"/>
          <w:highlight w:val="yellow"/>
        </w:rPr>
      </w:pPr>
      <w:r w:rsidRPr="00B97B26">
        <w:rPr>
          <w:rStyle w:val="FootnoteReference"/>
        </w:rPr>
        <w:footnoteRef/>
      </w:r>
      <w:r w:rsidRPr="00B97B26">
        <w:t xml:space="preserve"> </w:t>
      </w:r>
      <w:r w:rsidRPr="00B97B26">
        <w:rPr>
          <w:lang w:val="en"/>
        </w:rPr>
        <w:t xml:space="preserve">Australian Bureau of Statistics (ABS), 2019. </w:t>
      </w:r>
      <w:r w:rsidRPr="00B97B26">
        <w:rPr>
          <w:i/>
          <w:lang w:val="en"/>
        </w:rPr>
        <w:t>4364.0.55.001 National Health Survey: First Results, 2017-18</w:t>
      </w:r>
      <w:r w:rsidRPr="00B97B26">
        <w:rPr>
          <w:lang w:val="en"/>
        </w:rPr>
        <w:t xml:space="preserve">. Available at: </w:t>
      </w:r>
      <w:hyperlink r:id="rId25" w:history="1">
        <w:r w:rsidRPr="00B97B26">
          <w:rPr>
            <w:rStyle w:val="Hyperlink"/>
            <w:lang w:val="en"/>
          </w:rPr>
          <w:t>https://www.abs.gov.au/ausstats/abs@.nsf/Lookup/by%20Subject/4364.0.55.001~2017-18~Main%20Features~Overweight%20and%20obesity~90</w:t>
        </w:r>
      </w:hyperlink>
      <w:r>
        <w:rPr>
          <w:lang w:val="en"/>
        </w:rPr>
        <w:t xml:space="preserve"> </w:t>
      </w:r>
    </w:p>
  </w:footnote>
  <w:footnote w:id="45">
    <w:p w14:paraId="4C5F6651" w14:textId="77576383" w:rsidR="000F1209" w:rsidRDefault="000F1209">
      <w:pPr>
        <w:pStyle w:val="FootnoteText"/>
      </w:pPr>
      <w:r w:rsidRPr="007F5A58">
        <w:rPr>
          <w:rStyle w:val="FootnoteReference"/>
        </w:rPr>
        <w:footnoteRef/>
      </w:r>
      <w:r w:rsidRPr="007F5A58">
        <w:t xml:space="preserve"> Australian Institute of Health and Welfare (2019) </w:t>
      </w:r>
      <w:r w:rsidRPr="007F5A58">
        <w:rPr>
          <w:i/>
        </w:rPr>
        <w:t>Indicators of socioeconomic inequalities in cardiovascular disease, diabetes and chronic kidney disease</w:t>
      </w:r>
      <w:r w:rsidRPr="007F5A58">
        <w:t>. Cat. no. CDK 12. Canberra: AIHW</w:t>
      </w:r>
    </w:p>
  </w:footnote>
  <w:footnote w:id="46">
    <w:p w14:paraId="6A6FE15B" w14:textId="7FFD6B79" w:rsidR="000F1209" w:rsidRDefault="000F1209">
      <w:pPr>
        <w:pStyle w:val="FootnoteText"/>
      </w:pPr>
      <w:r>
        <w:rPr>
          <w:rStyle w:val="FootnoteReference"/>
        </w:rPr>
        <w:footnoteRef/>
      </w:r>
      <w:r>
        <w:t xml:space="preserve"> Van </w:t>
      </w:r>
      <w:proofErr w:type="spellStart"/>
      <w:r>
        <w:t>Gunst</w:t>
      </w:r>
      <w:proofErr w:type="spellEnd"/>
      <w:r>
        <w:t xml:space="preserve">, A., </w:t>
      </w:r>
      <w:proofErr w:type="spellStart"/>
      <w:r>
        <w:t>Roodenburg</w:t>
      </w:r>
      <w:proofErr w:type="spellEnd"/>
      <w:r>
        <w:t xml:space="preserve">, A. J. C. and </w:t>
      </w:r>
      <w:proofErr w:type="spellStart"/>
      <w:r>
        <w:t>Steenhuis</w:t>
      </w:r>
      <w:proofErr w:type="spellEnd"/>
      <w:r>
        <w:t xml:space="preserve">, I. H. M. (2018) ‘Reformulation as an integrated approach of four disciplines: A qualitative study with food companies’, </w:t>
      </w:r>
      <w:r>
        <w:rPr>
          <w:i/>
          <w:iCs/>
        </w:rPr>
        <w:t>Foods</w:t>
      </w:r>
      <w:r>
        <w:t xml:space="preserve">, 7(4). </w:t>
      </w:r>
      <w:proofErr w:type="spellStart"/>
      <w:r>
        <w:t>doi</w:t>
      </w:r>
      <w:proofErr w:type="spellEnd"/>
      <w:r>
        <w:t>: 10.3390/foods7040064.</w:t>
      </w:r>
    </w:p>
  </w:footnote>
  <w:footnote w:id="47">
    <w:p w14:paraId="07DE95A2" w14:textId="4D100CE4" w:rsidR="000F1209" w:rsidRDefault="000F1209" w:rsidP="002774F4">
      <w:pPr>
        <w:pStyle w:val="FootnoteText"/>
      </w:pPr>
      <w:r>
        <w:rPr>
          <w:rStyle w:val="FootnoteReference"/>
        </w:rPr>
        <w:footnoteRef/>
      </w:r>
      <w:r>
        <w:t xml:space="preserve"> WHO Regional Office for Europe</w:t>
      </w:r>
      <w:r w:rsidRPr="00AA7473">
        <w:t xml:space="preserve"> (2019). </w:t>
      </w:r>
      <w:r w:rsidRPr="00AA7473">
        <w:rPr>
          <w:i/>
          <w:iCs/>
        </w:rPr>
        <w:t>Ending inappropriate promotion of commercially available complementary foods for infants and young children between 6 and 36 months in Europe: A discussion paper outlining the first steps in developing a nutrient profile model to drive changes to product composition and labelling and promotion practices in the WHO European Region.</w:t>
      </w:r>
      <w:r w:rsidRPr="00AA7473">
        <w:t> </w:t>
      </w:r>
      <w:r>
        <w:t xml:space="preserve">Available at: </w:t>
      </w:r>
      <w:r w:rsidRPr="00AA7473">
        <w:t>from: </w:t>
      </w:r>
      <w:hyperlink r:id="rId26" w:history="1">
        <w:r w:rsidRPr="00AA7473">
          <w:rPr>
            <w:rStyle w:val="Hyperlink"/>
          </w:rPr>
          <w:t>http://www.euro.who.int/en/health-topics/disease-prevention/nutrition/publications/2019/ending-inappropriate-promotion-of-commercially-available-complementary-foods-for-infants-and-young-children-between-6-and-36-months-in-europe-2019</w:t>
        </w:r>
      </w:hyperlink>
    </w:p>
  </w:footnote>
  <w:footnote w:id="48">
    <w:p w14:paraId="1217BD0C" w14:textId="212BAF88" w:rsidR="000F1209" w:rsidRPr="00FC26E0" w:rsidRDefault="000F1209">
      <w:pPr>
        <w:pStyle w:val="FootnoteText"/>
        <w:rPr>
          <w:bCs/>
          <w:i/>
        </w:rPr>
      </w:pPr>
      <w:r>
        <w:rPr>
          <w:rStyle w:val="FootnoteReference"/>
        </w:rPr>
        <w:footnoteRef/>
      </w:r>
      <w:r>
        <w:t xml:space="preserve"> </w:t>
      </w:r>
      <w:r w:rsidRPr="0067236A">
        <w:t xml:space="preserve">World Health Organization (WHO) </w:t>
      </w:r>
      <w:r>
        <w:t xml:space="preserve">(2020). </w:t>
      </w:r>
      <w:r w:rsidRPr="00FC26E0">
        <w:rPr>
          <w:bCs/>
          <w:i/>
        </w:rPr>
        <w:t xml:space="preserve">More than 3 billion people protected from harmful </w:t>
      </w:r>
      <w:proofErr w:type="spellStart"/>
      <w:r w:rsidRPr="00FC26E0">
        <w:rPr>
          <w:bCs/>
          <w:i/>
        </w:rPr>
        <w:t>trans fat</w:t>
      </w:r>
      <w:proofErr w:type="spellEnd"/>
      <w:r w:rsidRPr="00FC26E0">
        <w:rPr>
          <w:bCs/>
          <w:i/>
        </w:rPr>
        <w:t xml:space="preserve"> in their food</w:t>
      </w:r>
      <w:r>
        <w:rPr>
          <w:bCs/>
          <w:i/>
        </w:rPr>
        <w:t xml:space="preserve">. </w:t>
      </w:r>
      <w:r>
        <w:t>Available at:</w:t>
      </w:r>
      <w:r w:rsidRPr="00FC26E0">
        <w:t xml:space="preserve"> </w:t>
      </w:r>
      <w:hyperlink r:id="rId27" w:history="1">
        <w:r>
          <w:rPr>
            <w:rStyle w:val="Hyperlink"/>
          </w:rPr>
          <w:t>https://www.who.int/news-room/detail/09-09-2020-more-than-3-billion-people-protected-from-harmful-trans-fat-in-their-food</w:t>
        </w:r>
      </w:hyperlink>
    </w:p>
  </w:footnote>
  <w:footnote w:id="49">
    <w:p w14:paraId="5B3F77E0" w14:textId="197FB383" w:rsidR="000F1209" w:rsidRDefault="000F1209" w:rsidP="00AC3F1A">
      <w:pPr>
        <w:pStyle w:val="FootnoteText"/>
      </w:pPr>
      <w:r>
        <w:rPr>
          <w:rStyle w:val="FootnoteReference"/>
        </w:rPr>
        <w:footnoteRef/>
      </w:r>
      <w:r>
        <w:t xml:space="preserve"> </w:t>
      </w:r>
      <w:r w:rsidRPr="00863100">
        <w:t>W</w:t>
      </w:r>
      <w:r>
        <w:t>orld Cancer Research Fund (WCRF) (</w:t>
      </w:r>
      <w:proofErr w:type="spellStart"/>
      <w:r>
        <w:t>n.d</w:t>
      </w:r>
      <w:proofErr w:type="spellEnd"/>
      <w:r>
        <w:t xml:space="preserve">). </w:t>
      </w:r>
      <w:r w:rsidRPr="00EE44FB">
        <w:rPr>
          <w:i/>
        </w:rPr>
        <w:t>Nourishing and Moving Policy Database</w:t>
      </w:r>
      <w:r>
        <w:rPr>
          <w:i/>
        </w:rPr>
        <w:t xml:space="preserve">. </w:t>
      </w:r>
      <w:r>
        <w:t xml:space="preserve">Available at </w:t>
      </w:r>
      <w:hyperlink r:id="rId28" w:history="1">
        <w:r w:rsidRPr="007B0473">
          <w:rPr>
            <w:rStyle w:val="Hyperlink"/>
          </w:rPr>
          <w:t>https://policydatabase.wcrf.org/</w:t>
        </w:r>
      </w:hyperlink>
    </w:p>
  </w:footnote>
  <w:footnote w:id="50">
    <w:p w14:paraId="242BD657" w14:textId="4599EB71" w:rsidR="000F1209" w:rsidRDefault="000F1209" w:rsidP="00AC3F1A">
      <w:pPr>
        <w:pStyle w:val="FootnoteText"/>
      </w:pPr>
      <w:r>
        <w:rPr>
          <w:rStyle w:val="FootnoteReference"/>
        </w:rPr>
        <w:footnoteRef/>
      </w:r>
      <w:r>
        <w:t xml:space="preserve"> </w:t>
      </w:r>
      <w:r w:rsidRPr="0067236A">
        <w:t>World</w:t>
      </w:r>
      <w:r>
        <w:t xml:space="preserve"> Health Organization (WHO) 2017</w:t>
      </w:r>
      <w:r w:rsidRPr="0067236A">
        <w:t xml:space="preserve"> </w:t>
      </w:r>
      <w:r w:rsidRPr="00A35959">
        <w:rPr>
          <w:i/>
        </w:rPr>
        <w:t>Tackling NCDs, Best buys</w:t>
      </w:r>
      <w:r>
        <w:rPr>
          <w:i/>
        </w:rPr>
        <w:t xml:space="preserve">. </w:t>
      </w:r>
      <w:r w:rsidRPr="00A35959">
        <w:t xml:space="preserve">Available at: </w:t>
      </w:r>
      <w:hyperlink r:id="rId29" w:history="1">
        <w:r w:rsidRPr="00A35959">
          <w:rPr>
            <w:rStyle w:val="Hyperlink"/>
          </w:rPr>
          <w:t>https://apps.who.int/iris/bitstream/handle/10665/259232/WHO-NMH-NVI-17.9-eng.pdf;jsessionid=7BD836E477124A3F951AAA316956F5F1?sequence=1</w:t>
        </w:r>
      </w:hyperlink>
      <w:r>
        <w:rPr>
          <w:i/>
        </w:rPr>
        <w:t xml:space="preserve"> </w:t>
      </w:r>
    </w:p>
  </w:footnote>
  <w:footnote w:id="51">
    <w:p w14:paraId="2E3FAFD3" w14:textId="726C077C" w:rsidR="000F1209" w:rsidRPr="002A6F34" w:rsidRDefault="000F1209">
      <w:pPr>
        <w:pStyle w:val="FootnoteText"/>
      </w:pPr>
      <w:r>
        <w:rPr>
          <w:rStyle w:val="FootnoteReference"/>
        </w:rPr>
        <w:footnoteRef/>
      </w:r>
      <w:r>
        <w:t xml:space="preserve"> World Health Organization (WHO) 2020 </w:t>
      </w:r>
      <w:r>
        <w:rPr>
          <w:i/>
        </w:rPr>
        <w:t xml:space="preserve">Replace: </w:t>
      </w:r>
      <w:proofErr w:type="spellStart"/>
      <w:r>
        <w:rPr>
          <w:i/>
        </w:rPr>
        <w:t>Trans fat</w:t>
      </w:r>
      <w:proofErr w:type="spellEnd"/>
      <w:r>
        <w:rPr>
          <w:i/>
        </w:rPr>
        <w:t xml:space="preserve"> free by 20203. </w:t>
      </w:r>
      <w:r>
        <w:t xml:space="preserve">Available at: </w:t>
      </w:r>
      <w:hyperlink r:id="rId30" w:history="1">
        <w:r>
          <w:rPr>
            <w:rStyle w:val="Hyperlink"/>
          </w:rPr>
          <w:t>https://www.who.int/teams/nutrition-and-food-safety/replace-transfat</w:t>
        </w:r>
      </w:hyperlink>
    </w:p>
  </w:footnote>
  <w:footnote w:id="52">
    <w:p w14:paraId="40CA959B" w14:textId="16B9F1F3" w:rsidR="000F1209" w:rsidRPr="00A35959" w:rsidRDefault="000F1209" w:rsidP="00AC3F1A">
      <w:pPr>
        <w:pStyle w:val="FootnoteText"/>
      </w:pPr>
      <w:r>
        <w:rPr>
          <w:rStyle w:val="FootnoteReference"/>
        </w:rPr>
        <w:footnoteRef/>
      </w:r>
      <w:r>
        <w:t xml:space="preserve"> </w:t>
      </w:r>
      <w:proofErr w:type="spellStart"/>
      <w:r>
        <w:t>Vidgen</w:t>
      </w:r>
      <w:proofErr w:type="spellEnd"/>
      <w:r>
        <w:t xml:space="preserve">, H., Monsef, E. and Davidson, K. (2018) </w:t>
      </w:r>
      <w:r>
        <w:rPr>
          <w:i/>
          <w:iCs/>
        </w:rPr>
        <w:t>Rapid Review: Food Regulatory Approaches to Address Childhood Obesity</w:t>
      </w:r>
      <w:r>
        <w:t xml:space="preserve">. Available at: </w:t>
      </w:r>
      <w:hyperlink r:id="rId31" w:history="1">
        <w:r w:rsidRPr="00395E6F">
          <w:rPr>
            <w:rStyle w:val="Hyperlink"/>
          </w:rPr>
          <w:t>https://foodregulation.gov.au/internet/fr/publishing.nsf/Content/8C77229FB54166D5CA25835B007B2516/$File/FRSC-Rapid-Review-childhood-obesity-QUT-8-March-2018.pdf</w:t>
        </w:r>
      </w:hyperlink>
    </w:p>
  </w:footnote>
  <w:footnote w:id="53">
    <w:p w14:paraId="36DA3885" w14:textId="08B0B729" w:rsidR="000F1209" w:rsidRPr="00B25E0C" w:rsidRDefault="000F1209" w:rsidP="00AC3F1A">
      <w:pPr>
        <w:pStyle w:val="FootnoteText"/>
      </w:pPr>
      <w:r>
        <w:rPr>
          <w:rStyle w:val="FootnoteReference"/>
        </w:rPr>
        <w:footnoteRef/>
      </w:r>
      <w:r>
        <w:t xml:space="preserve"> Restrepo, B. J. and Rieger, M. (2016) ‘Denmark’s Policy on Artificial Trans Fat and Cardiovascular Disease’, </w:t>
      </w:r>
      <w:r>
        <w:rPr>
          <w:i/>
          <w:iCs/>
        </w:rPr>
        <w:t>American Journal of Preventive Medicine</w:t>
      </w:r>
      <w:r>
        <w:t>, 50(1), pp. 69–76.</w:t>
      </w:r>
    </w:p>
  </w:footnote>
  <w:footnote w:id="54">
    <w:p w14:paraId="6CB71EA8" w14:textId="35FA47F7" w:rsidR="000F1209" w:rsidRPr="00A141FC" w:rsidRDefault="000F1209" w:rsidP="00AC3F1A">
      <w:pPr>
        <w:pStyle w:val="FootnoteText"/>
      </w:pPr>
      <w:r>
        <w:rPr>
          <w:rStyle w:val="FootnoteReference"/>
        </w:rPr>
        <w:footnoteRef/>
      </w:r>
      <w:r>
        <w:t xml:space="preserve"> </w:t>
      </w:r>
      <w:proofErr w:type="spellStart"/>
      <w:r>
        <w:t>Hyseni</w:t>
      </w:r>
      <w:proofErr w:type="spellEnd"/>
      <w:r>
        <w:t xml:space="preserve">, L. </w:t>
      </w:r>
      <w:r>
        <w:rPr>
          <w:i/>
          <w:iCs/>
        </w:rPr>
        <w:t>et al.</w:t>
      </w:r>
      <w:r>
        <w:t xml:space="preserve"> (2017) ‘The effects of policy actions to improve population dietary patterns and prevent diet-related non-communicable diseases: Scoping review’, </w:t>
      </w:r>
      <w:r>
        <w:rPr>
          <w:i/>
          <w:iCs/>
        </w:rPr>
        <w:t>European Journal of Clinical Nutrition</w:t>
      </w:r>
      <w:r>
        <w:t xml:space="preserve">. Nature Publishing Group, 71(6), pp. 694–711. </w:t>
      </w:r>
      <w:proofErr w:type="spellStart"/>
      <w:r>
        <w:t>doi</w:t>
      </w:r>
      <w:proofErr w:type="spellEnd"/>
      <w:r>
        <w:t>: 10.1038/ejcn.2016.234.</w:t>
      </w:r>
    </w:p>
  </w:footnote>
  <w:footnote w:id="55">
    <w:p w14:paraId="481FF2CA" w14:textId="337987BE" w:rsidR="000F1209" w:rsidRDefault="000F1209" w:rsidP="00AC3F1A">
      <w:pPr>
        <w:pStyle w:val="FootnoteText"/>
      </w:pPr>
      <w:r>
        <w:rPr>
          <w:rStyle w:val="FootnoteReference"/>
        </w:rPr>
        <w:footnoteRef/>
      </w:r>
      <w:r>
        <w:t xml:space="preserve"> Restrepo, B. J. and Rieger, M. (2016) ‘</w:t>
      </w:r>
      <w:proofErr w:type="spellStart"/>
      <w:r>
        <w:t>Trans fat</w:t>
      </w:r>
      <w:proofErr w:type="spellEnd"/>
      <w:r>
        <w:t xml:space="preserve"> and cardiovascular disease mortality: Evidence from bans in restaurants in New York’, </w:t>
      </w:r>
      <w:r>
        <w:rPr>
          <w:i/>
          <w:iCs/>
        </w:rPr>
        <w:t>Journal of Health Economics</w:t>
      </w:r>
      <w:r>
        <w:t xml:space="preserve">. Elsevier B.V., 45, pp. 176–196. </w:t>
      </w:r>
      <w:proofErr w:type="spellStart"/>
      <w:r>
        <w:t>doi</w:t>
      </w:r>
      <w:proofErr w:type="spellEnd"/>
      <w:r>
        <w:t>: 10.1016/j.jhealeco.2015.09.005.</w:t>
      </w:r>
    </w:p>
  </w:footnote>
  <w:footnote w:id="56">
    <w:p w14:paraId="4EA9922F" w14:textId="3F3C7725" w:rsidR="000F1209" w:rsidRPr="0082637E" w:rsidRDefault="000F1209">
      <w:pPr>
        <w:pStyle w:val="FootnoteText"/>
        <w:rPr>
          <w:i/>
        </w:rPr>
      </w:pPr>
      <w:r>
        <w:rPr>
          <w:rStyle w:val="FootnoteReference"/>
        </w:rPr>
        <w:footnoteRef/>
      </w:r>
      <w:r>
        <w:t xml:space="preserve"> World Health Organization (WHO) (2020), </w:t>
      </w:r>
      <w:r w:rsidRPr="00A35959">
        <w:rPr>
          <w:i/>
        </w:rPr>
        <w:t>Salt reduction.</w:t>
      </w:r>
      <w:r>
        <w:t xml:space="preserve"> Available at: </w:t>
      </w:r>
      <w:hyperlink r:id="rId32" w:history="1">
        <w:r w:rsidRPr="00395E6F">
          <w:rPr>
            <w:rStyle w:val="Hyperlink"/>
          </w:rPr>
          <w:t>https://www.who.int/news-room/fact-sheets/detail/salt-reduction</w:t>
        </w:r>
      </w:hyperlink>
      <w:r>
        <w:t xml:space="preserve"> </w:t>
      </w:r>
    </w:p>
  </w:footnote>
  <w:footnote w:id="57">
    <w:p w14:paraId="0CB20E9F" w14:textId="4FF778D0" w:rsidR="000F1209" w:rsidRPr="00A35959" w:rsidRDefault="000F1209" w:rsidP="00AC3F1A">
      <w:pPr>
        <w:pStyle w:val="FootnoteText"/>
      </w:pPr>
      <w:r>
        <w:rPr>
          <w:rStyle w:val="FootnoteReference"/>
        </w:rPr>
        <w:footnoteRef/>
      </w:r>
      <w:r>
        <w:t xml:space="preserve"> </w:t>
      </w:r>
      <w:r w:rsidRPr="00202FBE">
        <w:t xml:space="preserve">Food and Agriculture Organization of the United Nations (FAO) </w:t>
      </w:r>
      <w:r>
        <w:t>(</w:t>
      </w:r>
      <w:r w:rsidRPr="00202FBE">
        <w:t>2017</w:t>
      </w:r>
      <w:r>
        <w:t>)</w:t>
      </w:r>
      <w:r w:rsidRPr="00202FBE">
        <w:t xml:space="preserve"> </w:t>
      </w:r>
      <w:r w:rsidRPr="00A35959">
        <w:rPr>
          <w:i/>
        </w:rPr>
        <w:t>Trade Policy Technical Notes: Ex-post evidence on the effectiveness of policies targeted at promoting healthier diets</w:t>
      </w:r>
      <w:r w:rsidRPr="00202FBE">
        <w:rPr>
          <w:i/>
        </w:rPr>
        <w:t>.</w:t>
      </w:r>
      <w:r>
        <w:rPr>
          <w:i/>
        </w:rPr>
        <w:t xml:space="preserve"> </w:t>
      </w:r>
      <w:r>
        <w:t xml:space="preserve">Available at: </w:t>
      </w:r>
      <w:hyperlink r:id="rId33" w:history="1">
        <w:r w:rsidRPr="00395E6F">
          <w:rPr>
            <w:rStyle w:val="Hyperlink"/>
          </w:rPr>
          <w:t>http://www.fao.org/3/a-i8191e.pdf</w:t>
        </w:r>
      </w:hyperlink>
      <w:r>
        <w:t xml:space="preserve"> </w:t>
      </w:r>
    </w:p>
  </w:footnote>
  <w:footnote w:id="58">
    <w:p w14:paraId="25E79812" w14:textId="204EF5E4" w:rsidR="000F1209" w:rsidRPr="002961C3" w:rsidRDefault="000F1209" w:rsidP="00AC3F1A">
      <w:pPr>
        <w:pStyle w:val="FootnoteText"/>
      </w:pPr>
      <w:r>
        <w:rPr>
          <w:rStyle w:val="FootnoteReference"/>
        </w:rPr>
        <w:footnoteRef/>
      </w:r>
      <w:r>
        <w:t xml:space="preserve"> </w:t>
      </w:r>
      <w:proofErr w:type="spellStart"/>
      <w:r>
        <w:t>Allemandi</w:t>
      </w:r>
      <w:proofErr w:type="spellEnd"/>
      <w:r>
        <w:t xml:space="preserve">, L. </w:t>
      </w:r>
      <w:r>
        <w:rPr>
          <w:i/>
          <w:iCs/>
        </w:rPr>
        <w:t>et al.</w:t>
      </w:r>
      <w:r>
        <w:t xml:space="preserve"> (2019) ‘Monitoring sodium content in processed foods in Argentina 2017–2018: Compliance with national legislation and regional targets’, </w:t>
      </w:r>
      <w:r>
        <w:rPr>
          <w:i/>
          <w:iCs/>
        </w:rPr>
        <w:t>Nutrients</w:t>
      </w:r>
      <w:r>
        <w:t xml:space="preserve">, 11(1474). </w:t>
      </w:r>
      <w:proofErr w:type="spellStart"/>
      <w:r>
        <w:t>doi</w:t>
      </w:r>
      <w:proofErr w:type="spellEnd"/>
      <w:r>
        <w:t>: doi:10.3390/nu11071474.</w:t>
      </w:r>
    </w:p>
  </w:footnote>
  <w:footnote w:id="59">
    <w:p w14:paraId="40C1A7C1" w14:textId="0DD5DEA7" w:rsidR="000F1209" w:rsidRPr="002961C3" w:rsidRDefault="000F1209" w:rsidP="00AC3F1A">
      <w:pPr>
        <w:pStyle w:val="FootnoteText"/>
      </w:pPr>
      <w:r>
        <w:rPr>
          <w:rStyle w:val="FootnoteReference"/>
        </w:rPr>
        <w:footnoteRef/>
      </w:r>
      <w:r>
        <w:t xml:space="preserve"> Collins, M. </w:t>
      </w:r>
      <w:r>
        <w:rPr>
          <w:i/>
          <w:iCs/>
        </w:rPr>
        <w:t>et al.</w:t>
      </w:r>
      <w:r>
        <w:t xml:space="preserve"> (2014) ‘An economic evaluation of salt reduction policies to reduce coronary heart disease in England: A policy </w:t>
      </w:r>
      <w:proofErr w:type="spellStart"/>
      <w:r>
        <w:t>modeling</w:t>
      </w:r>
      <w:proofErr w:type="spellEnd"/>
      <w:r>
        <w:t xml:space="preserve"> study’, </w:t>
      </w:r>
      <w:r>
        <w:rPr>
          <w:i/>
          <w:iCs/>
        </w:rPr>
        <w:t>Value in Health</w:t>
      </w:r>
      <w:r>
        <w:t xml:space="preserve">. Elsevier, 17(5), pp. 517–524. </w:t>
      </w:r>
      <w:proofErr w:type="spellStart"/>
      <w:r>
        <w:t>doi</w:t>
      </w:r>
      <w:proofErr w:type="spellEnd"/>
      <w:r>
        <w:t>: 10.1016/j.jval.2014.03.1722.</w:t>
      </w:r>
    </w:p>
  </w:footnote>
  <w:footnote w:id="60">
    <w:p w14:paraId="596A0B07" w14:textId="6F2D4821" w:rsidR="000F1209" w:rsidRDefault="000F1209" w:rsidP="009276F4">
      <w:pPr>
        <w:pStyle w:val="FootnoteText"/>
      </w:pPr>
      <w:r>
        <w:rPr>
          <w:rStyle w:val="FootnoteReference"/>
        </w:rPr>
        <w:footnoteRef/>
      </w:r>
      <w:r>
        <w:t xml:space="preserve"> </w:t>
      </w:r>
      <w:r w:rsidRPr="00D31C9A">
        <w:t xml:space="preserve">World Trade Organization (WTO) Committee on Technical Barriers to Trade </w:t>
      </w:r>
      <w:r>
        <w:t>(2019)</w:t>
      </w:r>
      <w:r w:rsidRPr="00D31C9A">
        <w:t xml:space="preserve"> </w:t>
      </w:r>
      <w:r w:rsidRPr="00E04017">
        <w:rPr>
          <w:i/>
        </w:rPr>
        <w:t>Notification- Kingdom of Saudi Arabia- Added sugar upper limit in some food products</w:t>
      </w:r>
      <w:r>
        <w:rPr>
          <w:i/>
        </w:rPr>
        <w:t xml:space="preserve">. </w:t>
      </w:r>
      <w:r w:rsidRPr="00E04017">
        <w:t xml:space="preserve">Available at: </w:t>
      </w:r>
      <w:hyperlink r:id="rId34" w:history="1">
        <w:r w:rsidRPr="00395E6F">
          <w:rPr>
            <w:rStyle w:val="Hyperlink"/>
          </w:rPr>
          <w:t>https://docs.wto.org/dol2fe/Pages/SS/directdoc.aspx?filename=q:/G/TBTN19/SAU1108A3C1.pdf&amp;Open=True</w:t>
        </w:r>
      </w:hyperlink>
      <w:r>
        <w:t xml:space="preserve"> </w:t>
      </w:r>
    </w:p>
  </w:footnote>
  <w:footnote w:id="61">
    <w:p w14:paraId="0F1DA297" w14:textId="4E8DA365" w:rsidR="000F1209" w:rsidRDefault="000F1209">
      <w:pPr>
        <w:pStyle w:val="FootnoteText"/>
      </w:pPr>
      <w:r>
        <w:rPr>
          <w:rStyle w:val="FootnoteReference"/>
        </w:rPr>
        <w:footnoteRef/>
      </w:r>
      <w:r>
        <w:t xml:space="preserve"> Kaldor, J. C. (2018) ‘Food Reformulation for NCD-Prevention: Regulatory Options and Potential Barriers’, </w:t>
      </w:r>
      <w:r>
        <w:rPr>
          <w:i/>
          <w:iCs/>
        </w:rPr>
        <w:t>QUT Law Review</w:t>
      </w:r>
      <w:r>
        <w:t xml:space="preserve">, 18(1), p. 76. </w:t>
      </w:r>
      <w:proofErr w:type="spellStart"/>
      <w:r>
        <w:t>doi</w:t>
      </w:r>
      <w:proofErr w:type="spellEnd"/>
      <w:r>
        <w:t>: 10.5204/</w:t>
      </w:r>
      <w:proofErr w:type="gramStart"/>
      <w:r>
        <w:t>qutlr.v</w:t>
      </w:r>
      <w:proofErr w:type="gramEnd"/>
      <w:r>
        <w:t>18i1.729.</w:t>
      </w:r>
    </w:p>
  </w:footnote>
  <w:footnote w:id="62">
    <w:p w14:paraId="7E614C0E" w14:textId="77777777" w:rsidR="000F1209" w:rsidRDefault="000F1209" w:rsidP="00277B95">
      <w:pPr>
        <w:pStyle w:val="FootnoteText"/>
      </w:pPr>
      <w:r>
        <w:rPr>
          <w:rStyle w:val="FootnoteReference"/>
        </w:rPr>
        <w:footnoteRef/>
      </w:r>
      <w:r>
        <w:t xml:space="preserve"> </w:t>
      </w:r>
      <w:r w:rsidRPr="009D475D">
        <w:t>National</w:t>
      </w:r>
      <w:r>
        <w:t xml:space="preserve"> Heart Foundation of Australia (2012)</w:t>
      </w:r>
      <w:r w:rsidRPr="009D475D">
        <w:t xml:space="preserve"> </w:t>
      </w:r>
      <w:r w:rsidRPr="00CD4347">
        <w:rPr>
          <w:i/>
          <w:iCs/>
        </w:rPr>
        <w:t>Effectiveness of food reformulation as a strategy to improve population health</w:t>
      </w:r>
      <w:r w:rsidRPr="00CD4347">
        <w:t>.</w:t>
      </w:r>
      <w:r>
        <w:t xml:space="preserve"> Available at: </w:t>
      </w:r>
      <w:hyperlink r:id="rId35" w:history="1">
        <w:r w:rsidRPr="00395E6F">
          <w:rPr>
            <w:rStyle w:val="Hyperlink"/>
          </w:rPr>
          <w:t>https://www.heartfoundation.org.au/getmedia/2bcb1637-1a86-48fc-bb6c-b243c4746272/RapidReview_FoodReformulation.pdf</w:t>
        </w:r>
      </w:hyperlink>
      <w:r>
        <w:t xml:space="preserve"> </w:t>
      </w:r>
    </w:p>
  </w:footnote>
  <w:footnote w:id="63">
    <w:p w14:paraId="4DFC41AF" w14:textId="49B8A163" w:rsidR="000F1209" w:rsidRPr="0046447A" w:rsidRDefault="000F1209">
      <w:pPr>
        <w:pStyle w:val="FootnoteText"/>
      </w:pPr>
      <w:r>
        <w:rPr>
          <w:rStyle w:val="FootnoteReference"/>
        </w:rPr>
        <w:footnoteRef/>
      </w:r>
      <w:r>
        <w:t xml:space="preserve"> National Heart Foundation of Australia (2016) </w:t>
      </w:r>
      <w:r w:rsidRPr="0046447A">
        <w:rPr>
          <w:i/>
        </w:rPr>
        <w:t>Report on the Evaluation of the nine Food Categories for which reformulation targets were set under the Food and Health Dialogue</w:t>
      </w:r>
      <w:r>
        <w:t xml:space="preserve">. Available at: </w:t>
      </w:r>
      <w:hyperlink r:id="rId36" w:history="1">
        <w:r w:rsidRPr="00395E6F">
          <w:rPr>
            <w:rStyle w:val="Hyperlink"/>
          </w:rPr>
          <w:t>https://www1.health.gov.au/internet/main/publishing.nsf/Content/fhd</w:t>
        </w:r>
      </w:hyperlink>
      <w:r>
        <w:t xml:space="preserve"> </w:t>
      </w:r>
    </w:p>
  </w:footnote>
  <w:footnote w:id="64">
    <w:p w14:paraId="73974541" w14:textId="5BEC3E83" w:rsidR="000F1209" w:rsidRDefault="000F1209" w:rsidP="001053AF">
      <w:pPr>
        <w:pStyle w:val="FootnoteText"/>
      </w:pPr>
      <w:r>
        <w:rPr>
          <w:rStyle w:val="FootnoteReference"/>
        </w:rPr>
        <w:footnoteRef/>
      </w:r>
      <w:r>
        <w:t xml:space="preserve"> Sacks, G. and Robinson, E for INFORMAS. (2018) </w:t>
      </w:r>
      <w:r>
        <w:rPr>
          <w:i/>
          <w:iCs/>
        </w:rPr>
        <w:t>Inside our food and beverage manufacturers: assessment of company policies and commitments related to obesity prevention and nutrition, Australia 2018</w:t>
      </w:r>
      <w:r>
        <w:t xml:space="preserve">. Available at: </w:t>
      </w:r>
      <w:hyperlink r:id="rId37" w:history="1">
        <w:r w:rsidRPr="00395E6F">
          <w:rPr>
            <w:rStyle w:val="Hyperlink"/>
          </w:rPr>
          <w:t>https://docs.wixstatic.com/ugd/2e3337_63e52a246da94400a9ad25820e77927b.pdf</w:t>
        </w:r>
      </w:hyperlink>
      <w:r>
        <w:t xml:space="preserve">. </w:t>
      </w:r>
    </w:p>
  </w:footnote>
  <w:footnote w:id="65">
    <w:p w14:paraId="36C5C758" w14:textId="5B69C94F" w:rsidR="000F1209" w:rsidRDefault="000F1209">
      <w:pPr>
        <w:pStyle w:val="FootnoteText"/>
      </w:pPr>
      <w:r>
        <w:rPr>
          <w:rStyle w:val="FootnoteReference"/>
        </w:rPr>
        <w:footnoteRef/>
      </w:r>
      <w:r>
        <w:t xml:space="preserve"> Sacks, G. and Robinson, E. (2018) </w:t>
      </w:r>
      <w:r>
        <w:rPr>
          <w:i/>
          <w:iCs/>
        </w:rPr>
        <w:t>Inside our quick service restaurants: assessment of company policies and commitments related to obesity prevention and nutrition, Australia 2018</w:t>
      </w:r>
      <w:r>
        <w:t xml:space="preserve">. Available at: </w:t>
      </w:r>
      <w:hyperlink r:id="rId38" w:history="1">
        <w:r w:rsidRPr="00395E6F">
          <w:rPr>
            <w:rStyle w:val="Hyperlink"/>
          </w:rPr>
          <w:t>https://docs.wixstatic.com/ugd/2e3337_0f6ae07395914c0f9671bf9d310f80ca.pdf</w:t>
        </w:r>
      </w:hyperlink>
      <w:r>
        <w:t xml:space="preserve">. </w:t>
      </w:r>
    </w:p>
  </w:footnote>
  <w:footnote w:id="66">
    <w:p w14:paraId="6ED426AE" w14:textId="32B188C4" w:rsidR="000F1209" w:rsidRDefault="000F1209">
      <w:pPr>
        <w:pStyle w:val="FootnoteText"/>
      </w:pPr>
      <w:r>
        <w:rPr>
          <w:rStyle w:val="FootnoteReference"/>
        </w:rPr>
        <w:footnoteRef/>
      </w:r>
      <w:r>
        <w:t xml:space="preserve"> Sacks, G., Robinson, E. and Cameron, A. (2018) </w:t>
      </w:r>
      <w:r>
        <w:rPr>
          <w:i/>
          <w:iCs/>
        </w:rPr>
        <w:t>Inside our supermarkets: assessment of company policies and commitments related to obesity prevention and nutrition</w:t>
      </w:r>
      <w:r>
        <w:t xml:space="preserve">. Available at: </w:t>
      </w:r>
      <w:hyperlink r:id="rId39" w:history="1">
        <w:r w:rsidRPr="00395E6F">
          <w:rPr>
            <w:rStyle w:val="Hyperlink"/>
          </w:rPr>
          <w:t>https://aa4ed193-10bb-4e34-8c1c-65e97daef1a8.filesusr.com/ugd/2e3337_f3dc17c247b04421b324928304933e5d.pdf</w:t>
        </w:r>
      </w:hyperlink>
      <w:r>
        <w:t xml:space="preserve">. </w:t>
      </w:r>
    </w:p>
  </w:footnote>
  <w:footnote w:id="67">
    <w:p w14:paraId="6149B90C" w14:textId="55E0FFF1" w:rsidR="000F1209" w:rsidRPr="00183B67" w:rsidRDefault="000F1209" w:rsidP="006D42B6">
      <w:pPr>
        <w:pStyle w:val="FootnoteText"/>
      </w:pPr>
      <w:r>
        <w:rPr>
          <w:rStyle w:val="FootnoteReference"/>
        </w:rPr>
        <w:footnoteRef/>
      </w:r>
      <w:r>
        <w:t xml:space="preserve"> </w:t>
      </w:r>
      <w:r w:rsidRPr="00183B67">
        <w:t xml:space="preserve">Australian Beverages Council (2018) </w:t>
      </w:r>
      <w:r w:rsidRPr="00183B67">
        <w:rPr>
          <w:i/>
        </w:rPr>
        <w:t xml:space="preserve">Sugar reduction pledge. </w:t>
      </w:r>
      <w:r w:rsidRPr="00183B67">
        <w:t xml:space="preserve">Available at: </w:t>
      </w:r>
      <w:hyperlink r:id="rId40" w:history="1">
        <w:r w:rsidRPr="00183B67">
          <w:rPr>
            <w:rStyle w:val="Hyperlink"/>
          </w:rPr>
          <w:t>https://www.australianbeverages.org/initiatives-advocacy-information/sugar-reduction-pledge/</w:t>
        </w:r>
      </w:hyperlink>
      <w:r w:rsidRPr="00183B67">
        <w:t xml:space="preserve"> </w:t>
      </w:r>
    </w:p>
  </w:footnote>
  <w:footnote w:id="68">
    <w:p w14:paraId="644CEC0F" w14:textId="2478CAE1" w:rsidR="000F1209" w:rsidRPr="00183B67" w:rsidRDefault="000F1209" w:rsidP="006D42B6">
      <w:pPr>
        <w:pStyle w:val="FootnoteText"/>
      </w:pPr>
      <w:r w:rsidRPr="00183B67">
        <w:rPr>
          <w:rStyle w:val="FootnoteReference"/>
        </w:rPr>
        <w:footnoteRef/>
      </w:r>
      <w:r w:rsidRPr="00183B67">
        <w:t xml:space="preserve"> KPMG </w:t>
      </w:r>
      <w:r>
        <w:t>(2019)</w:t>
      </w:r>
      <w:r w:rsidRPr="00183B67">
        <w:t xml:space="preserve"> </w:t>
      </w:r>
      <w:r w:rsidRPr="00183B67">
        <w:rPr>
          <w:i/>
        </w:rPr>
        <w:t xml:space="preserve">Sugar Reduction Pledge, 2018 Aggregation Report. </w:t>
      </w:r>
      <w:r w:rsidRPr="00183B67">
        <w:t xml:space="preserve">Available at: </w:t>
      </w:r>
      <w:hyperlink r:id="rId41" w:history="1">
        <w:r w:rsidRPr="00183B67">
          <w:rPr>
            <w:rStyle w:val="Hyperlink"/>
          </w:rPr>
          <w:t>https://www.australianbeverages.org/wp-content/uploads/2019/11/Sugar-reduction-pledge-Report-ABCL22102019.pdf</w:t>
        </w:r>
      </w:hyperlink>
      <w:r>
        <w:t xml:space="preserve"> </w:t>
      </w:r>
    </w:p>
  </w:footnote>
  <w:footnote w:id="69">
    <w:p w14:paraId="068C407C" w14:textId="20457768" w:rsidR="000F1209" w:rsidRPr="003B3EB9" w:rsidRDefault="000F1209" w:rsidP="4F93ADCF">
      <w:pPr>
        <w:pStyle w:val="FootnoteText"/>
        <w:rPr>
          <w:lang w:val="en-NZ"/>
        </w:rPr>
      </w:pPr>
      <w:r w:rsidRPr="4F93ADCF">
        <w:rPr>
          <w:rStyle w:val="FootnoteReference"/>
        </w:rPr>
        <w:footnoteRef/>
      </w:r>
      <w:r>
        <w:t xml:space="preserve"> </w:t>
      </w:r>
      <w:r w:rsidRPr="00863100">
        <w:rPr>
          <w:lang w:val="en-NZ"/>
        </w:rPr>
        <w:t>Food Industry Taskforce on Addressing F</w:t>
      </w:r>
      <w:r>
        <w:rPr>
          <w:lang w:val="en-NZ"/>
        </w:rPr>
        <w:t>actors Contributing to Obesity (2018)</w:t>
      </w:r>
      <w:r w:rsidRPr="00863100">
        <w:rPr>
          <w:lang w:val="en-NZ"/>
        </w:rPr>
        <w:t xml:space="preserve"> </w:t>
      </w:r>
      <w:r w:rsidRPr="003B3EB9">
        <w:rPr>
          <w:i/>
          <w:lang w:val="en-NZ"/>
        </w:rPr>
        <w:t>Final report to ministers of health and food safety.</w:t>
      </w:r>
      <w:r w:rsidRPr="00863100">
        <w:rPr>
          <w:i/>
          <w:lang w:val="en-NZ"/>
        </w:rPr>
        <w:t xml:space="preserve"> </w:t>
      </w:r>
      <w:r>
        <w:rPr>
          <w:lang w:val="en-NZ"/>
        </w:rPr>
        <w:t xml:space="preserve">Available at: </w:t>
      </w:r>
      <w:hyperlink r:id="rId42" w:history="1">
        <w:r w:rsidRPr="00395E6F">
          <w:rPr>
            <w:rStyle w:val="Hyperlink"/>
            <w:lang w:val="en-NZ"/>
          </w:rPr>
          <w:t>https://www.health.govt.nz/system/files/documents/pages/food-industry-taskforce-final-report.pdf</w:t>
        </w:r>
      </w:hyperlink>
      <w:r>
        <w:rPr>
          <w:lang w:val="en-NZ"/>
        </w:rPr>
        <w:t xml:space="preserve"> </w:t>
      </w:r>
    </w:p>
  </w:footnote>
  <w:footnote w:id="70">
    <w:p w14:paraId="58F7799F" w14:textId="319D93CD" w:rsidR="000F1209" w:rsidRPr="00FB723D" w:rsidRDefault="000F1209">
      <w:pPr>
        <w:pStyle w:val="FootnoteText"/>
        <w:rPr>
          <w:lang w:val="en-NZ"/>
        </w:rPr>
      </w:pPr>
      <w:r>
        <w:rPr>
          <w:rStyle w:val="FootnoteReference"/>
        </w:rPr>
        <w:footnoteRef/>
      </w:r>
      <w:r>
        <w:t xml:space="preserve"> </w:t>
      </w:r>
      <w:r>
        <w:rPr>
          <w:lang w:val="en-NZ"/>
        </w:rPr>
        <w:t>Personal communication, Heart Foundation, August 2020</w:t>
      </w:r>
    </w:p>
  </w:footnote>
  <w:footnote w:id="71">
    <w:p w14:paraId="2933AA7A" w14:textId="09FA8340" w:rsidR="000F1209" w:rsidRPr="004F5995" w:rsidRDefault="000F1209">
      <w:pPr>
        <w:pStyle w:val="FootnoteText"/>
        <w:rPr>
          <w:lang w:val="en-NZ"/>
        </w:rPr>
      </w:pPr>
      <w:r>
        <w:rPr>
          <w:rStyle w:val="FootnoteReference"/>
        </w:rPr>
        <w:footnoteRef/>
      </w:r>
      <w:r>
        <w:t xml:space="preserve"> </w:t>
      </w:r>
      <w:r>
        <w:rPr>
          <w:lang w:val="en-NZ"/>
        </w:rPr>
        <w:t>Personal communication, Heart Foundation, August 2020</w:t>
      </w:r>
    </w:p>
  </w:footnote>
  <w:footnote w:id="72">
    <w:p w14:paraId="22324B01" w14:textId="3D869EF7" w:rsidR="000F1209" w:rsidRPr="007B62AF" w:rsidRDefault="000F1209">
      <w:pPr>
        <w:pStyle w:val="FootnoteText"/>
        <w:rPr>
          <w:i/>
        </w:rPr>
      </w:pPr>
      <w:r w:rsidRPr="00863100">
        <w:rPr>
          <w:rStyle w:val="FootnoteReference"/>
        </w:rPr>
        <w:footnoteRef/>
      </w:r>
      <w:r w:rsidRPr="00863100">
        <w:t xml:space="preserve"> </w:t>
      </w:r>
      <w:r w:rsidRPr="00863100">
        <w:rPr>
          <w:rFonts w:eastAsia="Calibri"/>
        </w:rPr>
        <w:t>New Zealand Food and Grocery Council</w:t>
      </w:r>
      <w:r>
        <w:rPr>
          <w:rFonts w:eastAsia="Calibri"/>
        </w:rPr>
        <w:t xml:space="preserve"> (</w:t>
      </w:r>
      <w:r w:rsidRPr="00863100">
        <w:rPr>
          <w:rFonts w:eastAsia="Calibri"/>
        </w:rPr>
        <w:t>n.d.</w:t>
      </w:r>
      <w:r>
        <w:rPr>
          <w:rFonts w:eastAsia="Calibri"/>
        </w:rPr>
        <w:t>)</w:t>
      </w:r>
      <w:r w:rsidRPr="00863100">
        <w:rPr>
          <w:rFonts w:eastAsia="Calibri"/>
        </w:rPr>
        <w:t xml:space="preserve"> </w:t>
      </w:r>
      <w:r w:rsidRPr="007B62AF">
        <w:rPr>
          <w:rFonts w:eastAsia="Calibri"/>
          <w:i/>
        </w:rPr>
        <w:t>Company Nutrition Polices &amp; Product Formulation. Available at: New Zealand Food &amp; Grocery Council</w:t>
      </w:r>
      <w:r>
        <w:rPr>
          <w:rFonts w:eastAsia="Calibri"/>
          <w:i/>
        </w:rPr>
        <w:t xml:space="preserve">. </w:t>
      </w:r>
      <w:r w:rsidRPr="007B62AF">
        <w:rPr>
          <w:rFonts w:eastAsia="Calibri"/>
        </w:rPr>
        <w:t xml:space="preserve">Available at: </w:t>
      </w:r>
      <w:hyperlink r:id="rId43" w:history="1">
        <w:r w:rsidRPr="00906ACB">
          <w:rPr>
            <w:rStyle w:val="Hyperlink"/>
            <w:rFonts w:eastAsia="Calibri"/>
          </w:rPr>
          <w:t>https://www.fgc.org.nz/company-nutrition-polices-product-formulation/</w:t>
        </w:r>
      </w:hyperlink>
      <w:r>
        <w:rPr>
          <w:rFonts w:eastAsia="Calibri"/>
        </w:rPr>
        <w:t xml:space="preserve"> </w:t>
      </w:r>
    </w:p>
  </w:footnote>
  <w:footnote w:id="73">
    <w:p w14:paraId="30281F65" w14:textId="0015FE09" w:rsidR="000F1209" w:rsidRPr="00C861F3" w:rsidRDefault="000F1209">
      <w:pPr>
        <w:pStyle w:val="FootnoteText"/>
      </w:pPr>
      <w:r w:rsidRPr="00863100">
        <w:rPr>
          <w:rStyle w:val="FootnoteReference"/>
        </w:rPr>
        <w:footnoteRef/>
      </w:r>
      <w:r w:rsidRPr="00863100">
        <w:t xml:space="preserve"> </w:t>
      </w:r>
      <w:r w:rsidRPr="00863100">
        <w:rPr>
          <w:rFonts w:eastAsia="Calibri"/>
        </w:rPr>
        <w:t xml:space="preserve">Heinz </w:t>
      </w:r>
      <w:proofErr w:type="spellStart"/>
      <w:r w:rsidRPr="00863100">
        <w:rPr>
          <w:rFonts w:eastAsia="Calibri"/>
        </w:rPr>
        <w:t>Watties</w:t>
      </w:r>
      <w:proofErr w:type="spellEnd"/>
      <w:r w:rsidRPr="00863100">
        <w:rPr>
          <w:rFonts w:eastAsia="Calibri"/>
        </w:rPr>
        <w:t>, 20</w:t>
      </w:r>
      <w:r>
        <w:rPr>
          <w:rFonts w:eastAsia="Calibri"/>
        </w:rPr>
        <w:t>20</w:t>
      </w:r>
      <w:r w:rsidRPr="00863100">
        <w:rPr>
          <w:rFonts w:eastAsia="Calibri"/>
        </w:rPr>
        <w:t xml:space="preserve">. </w:t>
      </w:r>
      <w:r w:rsidRPr="00C861F3">
        <w:rPr>
          <w:rFonts w:eastAsia="Calibri"/>
          <w:i/>
        </w:rPr>
        <w:t xml:space="preserve">Nutrition, </w:t>
      </w:r>
      <w:r>
        <w:rPr>
          <w:rFonts w:eastAsia="Calibri"/>
          <w:i/>
        </w:rPr>
        <w:t>Health and Wellness Initiatives</w:t>
      </w:r>
      <w:r>
        <w:rPr>
          <w:rFonts w:eastAsia="Calibri"/>
        </w:rPr>
        <w:t xml:space="preserve">. Available: </w:t>
      </w:r>
      <w:hyperlink r:id="rId44" w:history="1">
        <w:r w:rsidRPr="00906ACB">
          <w:rPr>
            <w:rStyle w:val="Hyperlink"/>
            <w:rFonts w:eastAsia="Calibri"/>
          </w:rPr>
          <w:t>http://www.heinzwatties.co.nz/Health-Wellness/Nutrition-Health-and-Wellness-Initiatives</w:t>
        </w:r>
      </w:hyperlink>
      <w:r>
        <w:rPr>
          <w:rFonts w:eastAsia="Calibri"/>
        </w:rPr>
        <w:t xml:space="preserve"> </w:t>
      </w:r>
    </w:p>
  </w:footnote>
  <w:footnote w:id="74">
    <w:p w14:paraId="33F74AD8" w14:textId="420A25BF" w:rsidR="000F1209" w:rsidRPr="00863100" w:rsidRDefault="000F1209">
      <w:pPr>
        <w:pStyle w:val="FootnoteText"/>
      </w:pPr>
      <w:r w:rsidRPr="00863100">
        <w:rPr>
          <w:rStyle w:val="FootnoteReference"/>
        </w:rPr>
        <w:footnoteRef/>
      </w:r>
      <w:r w:rsidRPr="00863100">
        <w:t xml:space="preserve"> </w:t>
      </w:r>
      <w:r w:rsidRPr="00863100">
        <w:rPr>
          <w:rFonts w:eastAsia="Calibri"/>
        </w:rPr>
        <w:t xml:space="preserve">Nestle, n.d. </w:t>
      </w:r>
      <w:r w:rsidRPr="00616301">
        <w:rPr>
          <w:rFonts w:eastAsia="Calibri"/>
          <w:i/>
        </w:rPr>
        <w:t>Nutrition</w:t>
      </w:r>
      <w:r w:rsidRPr="00863100">
        <w:rPr>
          <w:rFonts w:eastAsia="Calibri"/>
        </w:rPr>
        <w:t xml:space="preserve">. </w:t>
      </w:r>
      <w:r>
        <w:rPr>
          <w:rFonts w:eastAsia="Calibri"/>
        </w:rPr>
        <w:t xml:space="preserve">Available at: </w:t>
      </w:r>
      <w:hyperlink r:id="rId45" w:history="1">
        <w:r w:rsidRPr="00906ACB">
          <w:rPr>
            <w:rStyle w:val="Hyperlink"/>
            <w:rFonts w:eastAsia="Calibri"/>
          </w:rPr>
          <w:t>https://www.nestle.co.nz/csv/nutrition</w:t>
        </w:r>
      </w:hyperlink>
      <w:r>
        <w:rPr>
          <w:rFonts w:eastAsia="Calibri"/>
        </w:rPr>
        <w:t xml:space="preserve"> </w:t>
      </w:r>
    </w:p>
  </w:footnote>
  <w:footnote w:id="75">
    <w:p w14:paraId="11E0CF0F" w14:textId="022060B2" w:rsidR="000F1209" w:rsidRPr="007245C0" w:rsidRDefault="000F1209">
      <w:pPr>
        <w:pStyle w:val="FootnoteText"/>
        <w:rPr>
          <w:lang w:val="en-NZ"/>
        </w:rPr>
      </w:pPr>
      <w:r>
        <w:rPr>
          <w:rStyle w:val="FootnoteReference"/>
        </w:rPr>
        <w:footnoteRef/>
      </w:r>
      <w:r>
        <w:t xml:space="preserve"> </w:t>
      </w:r>
      <w:r>
        <w:rPr>
          <w:lang w:val="en-NZ"/>
        </w:rPr>
        <w:t xml:space="preserve">University of Auckland (2018). Committing to Health: Food company policies for Healthier Food Environments NZ 2018. Available at: </w:t>
      </w:r>
      <w:hyperlink r:id="rId46" w:history="1">
        <w:r w:rsidRPr="002B090E">
          <w:rPr>
            <w:rStyle w:val="Hyperlink"/>
            <w:lang w:val="en-NZ"/>
          </w:rPr>
          <w:t>https://figshare.com/s/f29767b39641fffecd5f</w:t>
        </w:r>
      </w:hyperlink>
      <w:r>
        <w:rPr>
          <w:lang w:val="en-NZ"/>
        </w:rPr>
        <w:t xml:space="preserve"> </w:t>
      </w:r>
    </w:p>
  </w:footnote>
  <w:footnote w:id="76">
    <w:p w14:paraId="3EFE1751" w14:textId="7CAE77C3" w:rsidR="000F1209" w:rsidRDefault="000F1209">
      <w:pPr>
        <w:pStyle w:val="FootnoteText"/>
      </w:pPr>
      <w:r w:rsidRPr="00863100">
        <w:rPr>
          <w:rStyle w:val="FootnoteReference"/>
        </w:rPr>
        <w:footnoteRef/>
      </w:r>
      <w:r w:rsidRPr="00863100">
        <w:t xml:space="preserve"> W</w:t>
      </w:r>
      <w:r>
        <w:t>orld Cancer Research Fund (WCRF), (</w:t>
      </w:r>
      <w:proofErr w:type="spellStart"/>
      <w:r>
        <w:t>n.d</w:t>
      </w:r>
      <w:proofErr w:type="spellEnd"/>
      <w:r>
        <w:t xml:space="preserve">). </w:t>
      </w:r>
      <w:r w:rsidRPr="00EE44FB">
        <w:rPr>
          <w:i/>
        </w:rPr>
        <w:t>Nourishing and Moving Policy Database</w:t>
      </w:r>
      <w:r>
        <w:rPr>
          <w:i/>
        </w:rPr>
        <w:t xml:space="preserve">. </w:t>
      </w:r>
      <w:r>
        <w:t xml:space="preserve">Available at </w:t>
      </w:r>
      <w:hyperlink r:id="rId47" w:history="1">
        <w:r w:rsidRPr="007B0473">
          <w:rPr>
            <w:rStyle w:val="Hyperlink"/>
          </w:rPr>
          <w:t>https://policydatabase.wcrf.org/</w:t>
        </w:r>
      </w:hyperlink>
    </w:p>
  </w:footnote>
  <w:footnote w:id="77">
    <w:p w14:paraId="52607CC4" w14:textId="3B92BEFC" w:rsidR="000F1209" w:rsidRDefault="000F1209" w:rsidP="000062CE">
      <w:pPr>
        <w:pStyle w:val="FootnoteText"/>
      </w:pPr>
      <w:r>
        <w:rPr>
          <w:rStyle w:val="FootnoteReference"/>
        </w:rPr>
        <w:footnoteRef/>
      </w:r>
      <w:r>
        <w:t xml:space="preserve"> </w:t>
      </w:r>
      <w:proofErr w:type="spellStart"/>
      <w:r>
        <w:t>Chauliac</w:t>
      </w:r>
      <w:proofErr w:type="spellEnd"/>
      <w:r>
        <w:t xml:space="preserve">, M. and </w:t>
      </w:r>
      <w:proofErr w:type="spellStart"/>
      <w:r>
        <w:t>Hercberg</w:t>
      </w:r>
      <w:proofErr w:type="spellEnd"/>
      <w:r>
        <w:t xml:space="preserve">, S. (2012) ‘Changing the Food Environment: The French Experience’, </w:t>
      </w:r>
      <w:r>
        <w:rPr>
          <w:i/>
          <w:iCs/>
        </w:rPr>
        <w:t>Advances in Nutrition</w:t>
      </w:r>
      <w:r>
        <w:t xml:space="preserve">, 3, p. 605S–610S. </w:t>
      </w:r>
      <w:proofErr w:type="spellStart"/>
      <w:r>
        <w:t>doi</w:t>
      </w:r>
      <w:proofErr w:type="spellEnd"/>
      <w:r>
        <w:t>: 10.3945/an.112.001941.</w:t>
      </w:r>
    </w:p>
  </w:footnote>
  <w:footnote w:id="78">
    <w:p w14:paraId="4D2A637D" w14:textId="061E2EF6" w:rsidR="000F1209" w:rsidRDefault="000F1209">
      <w:pPr>
        <w:pStyle w:val="FootnoteText"/>
      </w:pPr>
      <w:r>
        <w:rPr>
          <w:rStyle w:val="FootnoteReference"/>
        </w:rPr>
        <w:footnoteRef/>
      </w:r>
      <w:r>
        <w:t xml:space="preserve"> Knai, C. </w:t>
      </w:r>
      <w:r>
        <w:rPr>
          <w:i/>
          <w:iCs/>
        </w:rPr>
        <w:t>et al.</w:t>
      </w:r>
      <w:r>
        <w:t xml:space="preserve"> (2015) ‘Has a public-private partnership resulted in action on healthier diets in England? An analysis of the Public Health Responsibility Deal food pledges’, </w:t>
      </w:r>
      <w:r>
        <w:rPr>
          <w:i/>
          <w:iCs/>
        </w:rPr>
        <w:t>Food Policy</w:t>
      </w:r>
      <w:r>
        <w:t xml:space="preserve">, 54, pp. 1–10. </w:t>
      </w:r>
      <w:proofErr w:type="spellStart"/>
      <w:r>
        <w:t>doi</w:t>
      </w:r>
      <w:proofErr w:type="spellEnd"/>
      <w:r>
        <w:t>: 10.1016/j.foodpol.2015.04.002.</w:t>
      </w:r>
    </w:p>
  </w:footnote>
  <w:footnote w:id="79">
    <w:p w14:paraId="390C937B" w14:textId="17B23CAA" w:rsidR="000F1209" w:rsidRDefault="000F1209">
      <w:pPr>
        <w:pStyle w:val="FootnoteText"/>
      </w:pPr>
      <w:r>
        <w:rPr>
          <w:rStyle w:val="FootnoteReference"/>
        </w:rPr>
        <w:footnoteRef/>
      </w:r>
      <w:r>
        <w:t xml:space="preserve"> </w:t>
      </w:r>
      <w:proofErr w:type="spellStart"/>
      <w:r>
        <w:t>Hyseni</w:t>
      </w:r>
      <w:proofErr w:type="spellEnd"/>
      <w:r>
        <w:t xml:space="preserve">, L. </w:t>
      </w:r>
      <w:r>
        <w:rPr>
          <w:i/>
          <w:iCs/>
        </w:rPr>
        <w:t>et al.</w:t>
      </w:r>
      <w:r>
        <w:t xml:space="preserve"> (2017) ‘Systematic review of dietary trans-fat reduction interventions’, </w:t>
      </w:r>
      <w:r>
        <w:rPr>
          <w:i/>
          <w:iCs/>
        </w:rPr>
        <w:t>Bulletin of the World Health Organization</w:t>
      </w:r>
      <w:r>
        <w:t xml:space="preserve">, 95(12), pp. 821–830. </w:t>
      </w:r>
      <w:proofErr w:type="spellStart"/>
      <w:r>
        <w:t>doi</w:t>
      </w:r>
      <w:proofErr w:type="spellEnd"/>
      <w:r>
        <w:t>: 10.2471/BLT.16.189795.</w:t>
      </w:r>
    </w:p>
  </w:footnote>
  <w:footnote w:id="80">
    <w:p w14:paraId="4780DE27" w14:textId="3B353380" w:rsidR="000F1209" w:rsidRPr="00A87759" w:rsidRDefault="000F1209" w:rsidP="00A87759">
      <w:pPr>
        <w:spacing w:after="0"/>
        <w:rPr>
          <w:sz w:val="20"/>
          <w:szCs w:val="20"/>
        </w:rPr>
      </w:pPr>
    </w:p>
  </w:footnote>
  <w:footnote w:id="81">
    <w:p w14:paraId="0C1DC879" w14:textId="3A130856" w:rsidR="000F1209" w:rsidRPr="00A87759" w:rsidRDefault="000F1209" w:rsidP="00A87759">
      <w:pPr>
        <w:pStyle w:val="FootnoteText"/>
      </w:pPr>
      <w:r w:rsidRPr="00A87759">
        <w:rPr>
          <w:rStyle w:val="FootnoteReference"/>
        </w:rPr>
        <w:footnoteRef/>
      </w:r>
      <w:r w:rsidRPr="00A87759">
        <w:t xml:space="preserve"> </w:t>
      </w:r>
      <w:r>
        <w:t xml:space="preserve">Laverty, A. A. </w:t>
      </w:r>
      <w:r>
        <w:rPr>
          <w:i/>
          <w:iCs/>
        </w:rPr>
        <w:t>et al.</w:t>
      </w:r>
      <w:r>
        <w:t xml:space="preserve"> (2019) ‘Quantifying the impact of the Public Health Responsibility Deal on salt intake, cardiovascular disease and gastric cancer burdens: Interrupted time series and microsimulation study’, </w:t>
      </w:r>
      <w:r>
        <w:rPr>
          <w:i/>
          <w:iCs/>
        </w:rPr>
        <w:t>Journal of Epidemiology and Community Health</w:t>
      </w:r>
      <w:r>
        <w:t xml:space="preserve">, 73(9), pp. 881–887. </w:t>
      </w:r>
      <w:proofErr w:type="spellStart"/>
      <w:r>
        <w:t>doi</w:t>
      </w:r>
      <w:proofErr w:type="spellEnd"/>
      <w:r>
        <w:t>: 10.1136/jech-2018-211749.</w:t>
      </w:r>
    </w:p>
  </w:footnote>
  <w:footnote w:id="82">
    <w:p w14:paraId="3214C486" w14:textId="2D6DE291" w:rsidR="000F1209" w:rsidRPr="00026158" w:rsidRDefault="000F1209" w:rsidP="00A87759">
      <w:pPr>
        <w:pStyle w:val="FootnoteText"/>
      </w:pPr>
      <w:r w:rsidRPr="00A87759">
        <w:rPr>
          <w:rStyle w:val="FootnoteReference"/>
        </w:rPr>
        <w:footnoteRef/>
      </w:r>
      <w:r w:rsidRPr="00A87759">
        <w:t xml:space="preserve"> National Heart Foundation of Au</w:t>
      </w:r>
      <w:r>
        <w:t>stralia (2012)</w:t>
      </w:r>
      <w:r w:rsidRPr="00A87759">
        <w:t xml:space="preserve"> </w:t>
      </w:r>
      <w:r w:rsidRPr="00026158">
        <w:rPr>
          <w:i/>
        </w:rPr>
        <w:t>Rapid review of the evidence. Effectiveness of food reformulation as a strategy to improve population health.</w:t>
      </w:r>
      <w:r w:rsidRPr="00A87759">
        <w:rPr>
          <w:i/>
        </w:rPr>
        <w:t xml:space="preserve"> </w:t>
      </w:r>
      <w:r>
        <w:t xml:space="preserve">Available at: </w:t>
      </w:r>
      <w:hyperlink r:id="rId48" w:history="1">
        <w:r w:rsidRPr="00906ACB">
          <w:rPr>
            <w:rStyle w:val="Hyperlink"/>
          </w:rPr>
          <w:t>https://www.heartfoundation.org.au/getmedia/2bcb1637-1a86-48fc-bb6c-b243c4746272/RapidReview_FoodReformulation.pdf</w:t>
        </w:r>
      </w:hyperlink>
      <w:r>
        <w:t xml:space="preserve"> </w:t>
      </w:r>
    </w:p>
  </w:footnote>
  <w:footnote w:id="83">
    <w:p w14:paraId="61C4145B" w14:textId="38CA7B78" w:rsidR="000F1209" w:rsidRPr="00026158" w:rsidRDefault="000F1209" w:rsidP="00A87759">
      <w:pPr>
        <w:pStyle w:val="FootnoteText"/>
      </w:pPr>
      <w:r w:rsidRPr="00A87759">
        <w:rPr>
          <w:rStyle w:val="FootnoteReference"/>
        </w:rPr>
        <w:footnoteRef/>
      </w:r>
      <w:r w:rsidRPr="00A87759">
        <w:t xml:space="preserve"> </w:t>
      </w:r>
      <w:r>
        <w:t>Public Health England (2017)</w:t>
      </w:r>
      <w:r w:rsidRPr="00813B6B">
        <w:t xml:space="preserve"> </w:t>
      </w:r>
      <w:r w:rsidRPr="00026158">
        <w:rPr>
          <w:i/>
        </w:rPr>
        <w:t>Salt targets 2017: Progress report, a report on the food industry’s progress towards meeting the 2017 salt targets</w:t>
      </w:r>
      <w:r w:rsidRPr="00813B6B">
        <w:rPr>
          <w:i/>
        </w:rPr>
        <w:t>.</w:t>
      </w:r>
      <w:r w:rsidRPr="00A87759">
        <w:rPr>
          <w:i/>
        </w:rPr>
        <w:t xml:space="preserve"> </w:t>
      </w:r>
      <w:r>
        <w:t xml:space="preserve">Available at: </w:t>
      </w:r>
      <w:hyperlink r:id="rId49" w:history="1">
        <w:r w:rsidRPr="00906ACB">
          <w:rPr>
            <w:rStyle w:val="Hyperlink"/>
          </w:rPr>
          <w:t>https://assets.publishing.service.gov.uk/government/uploads/system/uploads/attachment_data/file/765571/Salt_targets_2017_progress_report.pdf</w:t>
        </w:r>
      </w:hyperlink>
      <w:r>
        <w:t xml:space="preserve"> </w:t>
      </w:r>
    </w:p>
  </w:footnote>
  <w:footnote w:id="84">
    <w:p w14:paraId="1FF24132" w14:textId="7E4C448F" w:rsidR="000F1209" w:rsidRPr="00A87759" w:rsidRDefault="000F1209" w:rsidP="00A87759">
      <w:pPr>
        <w:spacing w:after="0"/>
        <w:rPr>
          <w:rFonts w:eastAsia="Times New Roman"/>
          <w:sz w:val="20"/>
          <w:szCs w:val="20"/>
        </w:rPr>
      </w:pPr>
      <w:r w:rsidRPr="00026158">
        <w:rPr>
          <w:sz w:val="20"/>
          <w:szCs w:val="20"/>
          <w:vertAlign w:val="superscript"/>
        </w:rPr>
        <w:footnoteRef/>
      </w:r>
      <w:r w:rsidRPr="00026158">
        <w:rPr>
          <w:sz w:val="20"/>
          <w:szCs w:val="20"/>
          <w:vertAlign w:val="superscript"/>
        </w:rPr>
        <w:t xml:space="preserve"> </w:t>
      </w:r>
      <w:r w:rsidRPr="00026158">
        <w:rPr>
          <w:sz w:val="20"/>
          <w:szCs w:val="20"/>
        </w:rPr>
        <w:t xml:space="preserve">Laverty, A. A. </w:t>
      </w:r>
      <w:r w:rsidRPr="00026158">
        <w:rPr>
          <w:i/>
          <w:iCs/>
          <w:sz w:val="20"/>
          <w:szCs w:val="20"/>
        </w:rPr>
        <w:t>et al.</w:t>
      </w:r>
      <w:r w:rsidRPr="00026158">
        <w:rPr>
          <w:sz w:val="20"/>
          <w:szCs w:val="20"/>
        </w:rPr>
        <w:t xml:space="preserve"> (2019) ‘Quantifying the impact of the Public Health Responsibility Deal on salt intake, cardiovascular disease and gastric cancer burdens: Interrupted time series and microsimulation study’, </w:t>
      </w:r>
      <w:r w:rsidRPr="00026158">
        <w:rPr>
          <w:i/>
          <w:iCs/>
          <w:sz w:val="20"/>
          <w:szCs w:val="20"/>
        </w:rPr>
        <w:t>Journal of Epidemiology and Community Health</w:t>
      </w:r>
      <w:r w:rsidRPr="00026158">
        <w:rPr>
          <w:sz w:val="20"/>
          <w:szCs w:val="20"/>
        </w:rPr>
        <w:t xml:space="preserve">, 73(9), pp. 881–887. </w:t>
      </w:r>
      <w:proofErr w:type="spellStart"/>
      <w:r w:rsidRPr="00026158">
        <w:rPr>
          <w:sz w:val="20"/>
          <w:szCs w:val="20"/>
        </w:rPr>
        <w:t>doi</w:t>
      </w:r>
      <w:proofErr w:type="spellEnd"/>
      <w:r w:rsidRPr="00026158">
        <w:rPr>
          <w:sz w:val="20"/>
          <w:szCs w:val="20"/>
        </w:rPr>
        <w:t>: 10.1136/jech-2018-211749.</w:t>
      </w:r>
    </w:p>
  </w:footnote>
  <w:footnote w:id="85">
    <w:p w14:paraId="49FD1EC3" w14:textId="03EC0F3D" w:rsidR="000F1209" w:rsidRDefault="000F1209" w:rsidP="00A87759">
      <w:pPr>
        <w:pStyle w:val="FootnoteText"/>
      </w:pPr>
      <w:r w:rsidRPr="00A87759">
        <w:rPr>
          <w:rStyle w:val="FootnoteReference"/>
        </w:rPr>
        <w:footnoteRef/>
      </w:r>
      <w:r w:rsidRPr="00A87759">
        <w:t xml:space="preserve"> </w:t>
      </w:r>
      <w:r>
        <w:t xml:space="preserve">Knai, C. </w:t>
      </w:r>
      <w:r>
        <w:rPr>
          <w:i/>
          <w:iCs/>
        </w:rPr>
        <w:t>et al.</w:t>
      </w:r>
      <w:r>
        <w:t xml:space="preserve"> (2015) ‘Has a public-private partnership resulted in action on healthier diets in England? An analysis of the Public Health Responsibility Deal food pledges’, </w:t>
      </w:r>
      <w:r>
        <w:rPr>
          <w:i/>
          <w:iCs/>
        </w:rPr>
        <w:t>Food Policy</w:t>
      </w:r>
      <w:r>
        <w:t xml:space="preserve">. 54, pp. 1–10. </w:t>
      </w:r>
      <w:proofErr w:type="spellStart"/>
      <w:r>
        <w:t>doi</w:t>
      </w:r>
      <w:proofErr w:type="spellEnd"/>
      <w:r>
        <w:t>: 10.1016/j.foodpol.2015.04.002.</w:t>
      </w:r>
    </w:p>
  </w:footnote>
  <w:footnote w:id="86">
    <w:p w14:paraId="4242194A" w14:textId="34387CA0" w:rsidR="000F1209" w:rsidRDefault="000F1209">
      <w:pPr>
        <w:pStyle w:val="FootnoteText"/>
      </w:pPr>
      <w:r>
        <w:rPr>
          <w:rStyle w:val="FootnoteReference"/>
        </w:rPr>
        <w:footnoteRef/>
      </w:r>
      <w:r w:rsidRPr="00863100">
        <w:t>W</w:t>
      </w:r>
      <w:r>
        <w:t>orld Cancer Research Fund (WCRF), (</w:t>
      </w:r>
      <w:proofErr w:type="spellStart"/>
      <w:r>
        <w:t>n.d</w:t>
      </w:r>
      <w:proofErr w:type="spellEnd"/>
      <w:r>
        <w:t xml:space="preserve">). </w:t>
      </w:r>
      <w:r w:rsidRPr="00EE44FB">
        <w:rPr>
          <w:i/>
        </w:rPr>
        <w:t>Nourishing and Moving Policy Database</w:t>
      </w:r>
      <w:r>
        <w:rPr>
          <w:i/>
        </w:rPr>
        <w:t xml:space="preserve">. </w:t>
      </w:r>
      <w:r>
        <w:t xml:space="preserve">Available at </w:t>
      </w:r>
      <w:hyperlink r:id="rId50" w:history="1">
        <w:r w:rsidRPr="007B0473">
          <w:rPr>
            <w:rStyle w:val="Hyperlink"/>
          </w:rPr>
          <w:t>https://policydatabase.wcrf.org/</w:t>
        </w:r>
      </w:hyperlink>
    </w:p>
  </w:footnote>
  <w:footnote w:id="87">
    <w:p w14:paraId="3A4DD26E" w14:textId="4C7F2F30" w:rsidR="000F1209" w:rsidRPr="0086567F" w:rsidRDefault="000F1209" w:rsidP="006B26F6">
      <w:pPr>
        <w:pStyle w:val="FootnoteText"/>
      </w:pPr>
      <w:r w:rsidRPr="006B26F6">
        <w:rPr>
          <w:rStyle w:val="FootnoteReference"/>
        </w:rPr>
        <w:footnoteRef/>
      </w:r>
      <w:r w:rsidRPr="006B26F6">
        <w:t xml:space="preserve"> Public Health England </w:t>
      </w:r>
      <w:r>
        <w:t>(2018)</w:t>
      </w:r>
      <w:r w:rsidRPr="006B26F6">
        <w:t xml:space="preserve"> </w:t>
      </w:r>
      <w:r w:rsidRPr="0086567F">
        <w:rPr>
          <w:i/>
        </w:rPr>
        <w:t>Calorie reduction: The scope and ambition for action</w:t>
      </w:r>
      <w:r>
        <w:rPr>
          <w:i/>
        </w:rPr>
        <w:t xml:space="preserve">. </w:t>
      </w:r>
      <w:r>
        <w:t xml:space="preserve">Available at: </w:t>
      </w:r>
      <w:hyperlink r:id="rId51" w:history="1">
        <w:r w:rsidRPr="00906ACB">
          <w:rPr>
            <w:rStyle w:val="Hyperlink"/>
          </w:rPr>
          <w:t>https://www.gov.uk/government/publications/calorie-reduction-the-scope-and-ambition-for-action</w:t>
        </w:r>
      </w:hyperlink>
      <w:r>
        <w:t xml:space="preserve"> </w:t>
      </w:r>
    </w:p>
  </w:footnote>
  <w:footnote w:id="88">
    <w:p w14:paraId="08BA191A" w14:textId="4DE7B20B" w:rsidR="000F1209" w:rsidRPr="006B26F6" w:rsidRDefault="000F1209" w:rsidP="006B26F6">
      <w:pPr>
        <w:spacing w:after="0"/>
        <w:rPr>
          <w:sz w:val="20"/>
          <w:szCs w:val="20"/>
        </w:rPr>
      </w:pPr>
      <w:r w:rsidRPr="006B26F6">
        <w:rPr>
          <w:rStyle w:val="FootnoteReference"/>
          <w:sz w:val="20"/>
          <w:szCs w:val="20"/>
        </w:rPr>
        <w:footnoteRef/>
      </w:r>
      <w:r w:rsidRPr="006B26F6">
        <w:rPr>
          <w:sz w:val="20"/>
          <w:szCs w:val="20"/>
        </w:rPr>
        <w:t xml:space="preserve"> </w:t>
      </w:r>
      <w:r w:rsidRPr="00952F02">
        <w:rPr>
          <w:rFonts w:eastAsia="Times New Roman"/>
          <w:sz w:val="20"/>
          <w:szCs w:val="20"/>
        </w:rPr>
        <w:t xml:space="preserve">Amies-Cull, B., Briggs, A. D. M. and Scarborough, P. (2019) ‘Estimating the potential impact of the UK government’s sugar reduction programme on child and adult health: Modelling study’, </w:t>
      </w:r>
      <w:r w:rsidRPr="00952F02">
        <w:rPr>
          <w:rFonts w:eastAsia="Times New Roman"/>
          <w:i/>
          <w:iCs/>
          <w:sz w:val="20"/>
          <w:szCs w:val="20"/>
        </w:rPr>
        <w:t>BMJ (Online)</w:t>
      </w:r>
      <w:r w:rsidRPr="00952F02">
        <w:rPr>
          <w:rFonts w:eastAsia="Times New Roman"/>
          <w:sz w:val="20"/>
          <w:szCs w:val="20"/>
        </w:rPr>
        <w:t xml:space="preserve">, 365, pp. 1–8. </w:t>
      </w:r>
      <w:proofErr w:type="spellStart"/>
      <w:r w:rsidRPr="00952F02">
        <w:rPr>
          <w:rFonts w:eastAsia="Times New Roman"/>
          <w:sz w:val="20"/>
          <w:szCs w:val="20"/>
        </w:rPr>
        <w:t>doi</w:t>
      </w:r>
      <w:proofErr w:type="spellEnd"/>
      <w:r w:rsidRPr="00952F02">
        <w:rPr>
          <w:rFonts w:eastAsia="Times New Roman"/>
          <w:sz w:val="20"/>
          <w:szCs w:val="20"/>
        </w:rPr>
        <w:t>: 10.1136/</w:t>
      </w:r>
      <w:proofErr w:type="gramStart"/>
      <w:r w:rsidRPr="00952F02">
        <w:rPr>
          <w:rFonts w:eastAsia="Times New Roman"/>
          <w:sz w:val="20"/>
          <w:szCs w:val="20"/>
        </w:rPr>
        <w:t>bmj.l</w:t>
      </w:r>
      <w:proofErr w:type="gramEnd"/>
      <w:r w:rsidRPr="00952F02">
        <w:rPr>
          <w:rFonts w:eastAsia="Times New Roman"/>
          <w:sz w:val="20"/>
          <w:szCs w:val="20"/>
        </w:rPr>
        <w:t>1417.</w:t>
      </w:r>
    </w:p>
  </w:footnote>
  <w:footnote w:id="89">
    <w:p w14:paraId="568EAAF7" w14:textId="36A7ECC1" w:rsidR="000F1209" w:rsidRDefault="000F1209" w:rsidP="006B26F6">
      <w:pPr>
        <w:pStyle w:val="FootnoteText"/>
      </w:pPr>
      <w:r w:rsidRPr="006B26F6">
        <w:rPr>
          <w:rStyle w:val="FootnoteReference"/>
        </w:rPr>
        <w:footnoteRef/>
      </w:r>
      <w:r w:rsidRPr="006B26F6">
        <w:t xml:space="preserve"> </w:t>
      </w:r>
      <w:r>
        <w:t>Public Health England (2019)</w:t>
      </w:r>
      <w:r w:rsidRPr="006B26F6">
        <w:t xml:space="preserve"> </w:t>
      </w:r>
      <w:r w:rsidRPr="0086567F">
        <w:rPr>
          <w:i/>
        </w:rPr>
        <w:t>Sugar education: Report on progress between 2015 and 2018.</w:t>
      </w:r>
      <w:r>
        <w:t xml:space="preserve"> Available at: </w:t>
      </w:r>
      <w:hyperlink r:id="rId52" w:history="1">
        <w:r w:rsidRPr="00906ACB">
          <w:rPr>
            <w:rStyle w:val="Hyperlink"/>
          </w:rPr>
          <w:t>https://www.gov.uk/government/publications/sugar-reduction-progress-between-2015-and-2018</w:t>
        </w:r>
      </w:hyperlink>
      <w:r>
        <w:t xml:space="preserve"> </w:t>
      </w:r>
    </w:p>
  </w:footnote>
  <w:footnote w:id="90">
    <w:p w14:paraId="1131E4E9" w14:textId="039104FC" w:rsidR="000F1209" w:rsidRDefault="000F1209">
      <w:pPr>
        <w:pStyle w:val="FootnoteText"/>
      </w:pPr>
      <w:r>
        <w:rPr>
          <w:rStyle w:val="FootnoteReference"/>
        </w:rPr>
        <w:footnoteRef/>
      </w:r>
      <w:r>
        <w:t xml:space="preserve"> Knai, C. </w:t>
      </w:r>
      <w:r>
        <w:rPr>
          <w:i/>
          <w:iCs/>
        </w:rPr>
        <w:t>et al.</w:t>
      </w:r>
      <w:r>
        <w:t xml:space="preserve"> (2015) ‘Has a public-private partnership resulted in action on healthier diets in England? An analysis of the Public Health Responsibility Deal food pledges’, </w:t>
      </w:r>
      <w:r>
        <w:rPr>
          <w:i/>
          <w:iCs/>
        </w:rPr>
        <w:t>Food Policy</w:t>
      </w:r>
      <w:r>
        <w:t xml:space="preserve">, 54, pp. 1–10. </w:t>
      </w:r>
      <w:proofErr w:type="spellStart"/>
      <w:r>
        <w:t>doi</w:t>
      </w:r>
      <w:proofErr w:type="spellEnd"/>
      <w:r>
        <w:t>: 10.1016/j.foodpol.2015.04.002.</w:t>
      </w:r>
    </w:p>
  </w:footnote>
  <w:footnote w:id="91">
    <w:p w14:paraId="73BA942F" w14:textId="05C94E2A" w:rsidR="000F1209" w:rsidRPr="009875EB" w:rsidRDefault="000F1209" w:rsidP="003D3497">
      <w:pPr>
        <w:pStyle w:val="FootnoteText"/>
        <w:rPr>
          <w:lang w:val="en-NZ"/>
        </w:rPr>
      </w:pPr>
      <w:r>
        <w:rPr>
          <w:rStyle w:val="FootnoteReference"/>
        </w:rPr>
        <w:footnoteRef/>
      </w:r>
      <w:r>
        <w:t xml:space="preserve"> National Institute for Health Innovation (2018) </w:t>
      </w:r>
      <w:r w:rsidRPr="0075547C">
        <w:rPr>
          <w:i/>
        </w:rPr>
        <w:t>The Health Star Rating (HSR) system in New Zealand 2014-2018: System Uptake and nutrient content of foods by HSR status</w:t>
      </w:r>
      <w:r>
        <w:t xml:space="preserve">. Auckland: Auckland </w:t>
      </w:r>
      <w:proofErr w:type="spellStart"/>
      <w:r>
        <w:t>UniServices</w:t>
      </w:r>
      <w:proofErr w:type="spellEnd"/>
      <w:r>
        <w:t xml:space="preserve"> Ltd.</w:t>
      </w:r>
      <w:r w:rsidRPr="00D145DB">
        <w:t xml:space="preserve"> </w:t>
      </w:r>
      <w:r>
        <w:t xml:space="preserve">Available at: </w:t>
      </w:r>
      <w:hyperlink r:id="rId53" w:history="1">
        <w:r w:rsidRPr="00906ACB">
          <w:rPr>
            <w:rStyle w:val="Hyperlink"/>
          </w:rPr>
          <w:t>https://www.mpi.govt.nz/dmsdocument/31635-the-health-star-rating-system-in-new-zealand-2014-2018</w:t>
        </w:r>
      </w:hyperlink>
      <w:r>
        <w:t xml:space="preserve"> </w:t>
      </w:r>
    </w:p>
  </w:footnote>
  <w:footnote w:id="92">
    <w:p w14:paraId="57D3BC8B" w14:textId="5236C6AD" w:rsidR="000F1209" w:rsidRDefault="000F1209" w:rsidP="003D3497">
      <w:pPr>
        <w:pStyle w:val="FootnoteText"/>
      </w:pPr>
      <w:r>
        <w:rPr>
          <w:rStyle w:val="FootnoteReference"/>
        </w:rPr>
        <w:footnoteRef/>
      </w:r>
      <w:r>
        <w:t xml:space="preserve"> National Heart Foundation of Australia (2019) </w:t>
      </w:r>
      <w:r w:rsidRPr="0075547C">
        <w:rPr>
          <w:i/>
        </w:rPr>
        <w:t>Report on the monitoring of the implementation of the Health Star Rating system in the first four years of implementation: June 2014 to June 2018</w:t>
      </w:r>
      <w:r w:rsidRPr="0075547C">
        <w:t>.</w:t>
      </w:r>
      <w:r>
        <w:t xml:space="preserve"> Available at: </w:t>
      </w:r>
      <w:hyperlink r:id="rId54" w:history="1">
        <w:r w:rsidRPr="00906ACB">
          <w:rPr>
            <w:rStyle w:val="Hyperlink"/>
          </w:rPr>
          <w:t>http://www.healthstarrating.gov.au/internet/healthstarrating/publishing.nsf/Content/474CBBEC911CFF01CA25803A007E7B2B/$File/Report-on-the-Monitoring-of-the-Implementation-of-the-Health-Star-Rating-System-in-the-First-Four-Years-of-Implementation-June-2014-to-June-2018.pdf</w:t>
        </w:r>
      </w:hyperlink>
      <w:r>
        <w:t xml:space="preserve"> </w:t>
      </w:r>
    </w:p>
  </w:footnote>
  <w:footnote w:id="93">
    <w:p w14:paraId="641BB234" w14:textId="3EE92877" w:rsidR="000F1209" w:rsidRDefault="000F1209">
      <w:pPr>
        <w:pStyle w:val="FootnoteText"/>
      </w:pPr>
      <w:r>
        <w:rPr>
          <w:rStyle w:val="FootnoteReference"/>
        </w:rPr>
        <w:footnoteRef/>
      </w:r>
      <w:r>
        <w:t xml:space="preserve"> World Cancer Research Fund International (2018) </w:t>
      </w:r>
      <w:r>
        <w:rPr>
          <w:i/>
          <w:iCs/>
        </w:rPr>
        <w:t>Building momentum: lessons on implementing a robust sugar sweetened beverage tax</w:t>
      </w:r>
      <w:r>
        <w:t>. Available at: https://www.wcrf.org/sites/default/files/PPA-Building-Momentum-Report-WEB.pdf.</w:t>
      </w:r>
    </w:p>
  </w:footnote>
  <w:footnote w:id="94">
    <w:p w14:paraId="232D494E" w14:textId="06E93BC7" w:rsidR="000F1209" w:rsidRDefault="000F1209" w:rsidP="00F71621">
      <w:pPr>
        <w:pStyle w:val="FootnoteText"/>
      </w:pPr>
      <w:r>
        <w:rPr>
          <w:rStyle w:val="FootnoteReference"/>
        </w:rPr>
        <w:footnoteRef/>
      </w:r>
      <w:r>
        <w:t xml:space="preserve"> Public Health England (2019)</w:t>
      </w:r>
      <w:r w:rsidRPr="003F3287">
        <w:t xml:space="preserve"> </w:t>
      </w:r>
      <w:r w:rsidRPr="00746576">
        <w:rPr>
          <w:i/>
        </w:rPr>
        <w:t>Sugar education: Report on progress between 2015 and 2018.</w:t>
      </w:r>
      <w:r>
        <w:t xml:space="preserve"> Available at: </w:t>
      </w:r>
      <w:hyperlink r:id="rId55" w:history="1">
        <w:r w:rsidRPr="00906ACB">
          <w:rPr>
            <w:rStyle w:val="Hyperlink"/>
          </w:rPr>
          <w:t>https://assets.publishing.service.gov.uk/government/uploads/system/uploads/attachment_data/file/839756/Sugar_reduction_yr2_progress_report.pdf</w:t>
        </w:r>
      </w:hyperlink>
      <w:r>
        <w:t xml:space="preserve"> </w:t>
      </w:r>
    </w:p>
  </w:footnote>
  <w:footnote w:id="95">
    <w:p w14:paraId="2163E217" w14:textId="478306C7" w:rsidR="000F1209" w:rsidRDefault="000F1209">
      <w:pPr>
        <w:pStyle w:val="FootnoteText"/>
      </w:pPr>
      <w:r>
        <w:rPr>
          <w:rStyle w:val="FootnoteReference"/>
        </w:rPr>
        <w:footnoteRef/>
      </w:r>
      <w:r>
        <w:t xml:space="preserve"> Scarborough, P. </w:t>
      </w:r>
      <w:r>
        <w:rPr>
          <w:i/>
          <w:iCs/>
        </w:rPr>
        <w:t>et al.</w:t>
      </w:r>
      <w:r>
        <w:t xml:space="preserve"> (2020) ‘Impact of the announcement and implementation of the UK Soft Drinks Industry Levy on sugar content, price, product size and number of available soft drinks in the UK, 2015-19: A controlled interrupted time series analysis’, </w:t>
      </w:r>
      <w:r>
        <w:rPr>
          <w:i/>
          <w:iCs/>
        </w:rPr>
        <w:t>PLOS Medicine</w:t>
      </w:r>
      <w:r>
        <w:t xml:space="preserve">, 17(2), p. e1003025. </w:t>
      </w:r>
      <w:proofErr w:type="spellStart"/>
      <w:r>
        <w:t>doi</w:t>
      </w:r>
      <w:proofErr w:type="spellEnd"/>
      <w:r>
        <w:t xml:space="preserve">: https://doi.org/10.1371/ </w:t>
      </w:r>
      <w:proofErr w:type="gramStart"/>
      <w:r>
        <w:t>journal.pmed</w:t>
      </w:r>
      <w:proofErr w:type="gramEnd"/>
      <w:r>
        <w:t xml:space="preserve">.1003025. </w:t>
      </w:r>
    </w:p>
  </w:footnote>
  <w:footnote w:id="96">
    <w:p w14:paraId="72DB1199" w14:textId="25ACA2E9" w:rsidR="000F1209" w:rsidRPr="009003E2" w:rsidRDefault="000F1209" w:rsidP="007E773C">
      <w:pPr>
        <w:pStyle w:val="FootnoteText"/>
      </w:pPr>
      <w:r w:rsidRPr="009003E2">
        <w:rPr>
          <w:rStyle w:val="FootnoteReference"/>
        </w:rPr>
        <w:footnoteRef/>
      </w:r>
      <w:r w:rsidRPr="009003E2">
        <w:t xml:space="preserve"> National Heart Foundation of Australia </w:t>
      </w:r>
      <w:r>
        <w:t>(2019)</w:t>
      </w:r>
      <w:r w:rsidRPr="009003E2">
        <w:t xml:space="preserve"> </w:t>
      </w:r>
      <w:r w:rsidRPr="009003E2">
        <w:rPr>
          <w:i/>
        </w:rPr>
        <w:t>Dietary Position Statement: Dietary Fat and Heart Healthy Eating</w:t>
      </w:r>
      <w:r>
        <w:rPr>
          <w:i/>
        </w:rPr>
        <w:t xml:space="preserve">. </w:t>
      </w:r>
      <w:r>
        <w:t xml:space="preserve">Available at: </w:t>
      </w:r>
      <w:hyperlink r:id="rId56" w:history="1">
        <w:r w:rsidRPr="00906ACB">
          <w:rPr>
            <w:rStyle w:val="Hyperlink"/>
          </w:rPr>
          <w:t>https://www.heartfoundation.org.au/activities-finding-or-opinion/food-and-nutrition-position-statements</w:t>
        </w:r>
      </w:hyperlink>
      <w:r>
        <w:t xml:space="preserve"> </w:t>
      </w:r>
    </w:p>
  </w:footnote>
  <w:footnote w:id="97">
    <w:p w14:paraId="76C804E9" w14:textId="1DB7AC56" w:rsidR="000F1209" w:rsidRPr="009003E2" w:rsidRDefault="000F1209" w:rsidP="00223743">
      <w:pPr>
        <w:pStyle w:val="FootnoteText"/>
      </w:pPr>
      <w:r w:rsidRPr="009003E2">
        <w:rPr>
          <w:rStyle w:val="FootnoteReference"/>
        </w:rPr>
        <w:footnoteRef/>
      </w:r>
      <w:r w:rsidRPr="009003E2">
        <w:t xml:space="preserve"> </w:t>
      </w:r>
      <w:r w:rsidRPr="006476D4">
        <w:t xml:space="preserve">Australian National Health and Medical Research Council (NHMRC) </w:t>
      </w:r>
      <w:r>
        <w:t>(</w:t>
      </w:r>
      <w:r w:rsidRPr="006476D4">
        <w:t>2013</w:t>
      </w:r>
      <w:r>
        <w:t>)</w:t>
      </w:r>
      <w:r w:rsidRPr="006476D4">
        <w:t xml:space="preserve"> </w:t>
      </w:r>
      <w:r w:rsidRPr="00F65894">
        <w:rPr>
          <w:i/>
        </w:rPr>
        <w:t>Australian Dietary Guidelines</w:t>
      </w:r>
      <w:r>
        <w:rPr>
          <w:i/>
        </w:rPr>
        <w:t xml:space="preserve">. </w:t>
      </w:r>
      <w:r>
        <w:t xml:space="preserve">Available at: </w:t>
      </w:r>
      <w:hyperlink r:id="rId57" w:history="1">
        <w:r w:rsidRPr="00395E6F">
          <w:rPr>
            <w:rStyle w:val="Hyperlink"/>
          </w:rPr>
          <w:t>https://eatforhealth.govcms.gov.au/sites/default/files/content/n55_australian_dietary_guidelines.pdf</w:t>
        </w:r>
      </w:hyperlink>
    </w:p>
  </w:footnote>
  <w:footnote w:id="98">
    <w:p w14:paraId="2AD0BE7C" w14:textId="16C7A9D6" w:rsidR="000F1209" w:rsidRPr="009003E2" w:rsidRDefault="000F1209" w:rsidP="00C94FA6">
      <w:pPr>
        <w:pStyle w:val="FootnoteText"/>
        <w:spacing w:line="259" w:lineRule="auto"/>
        <w:rPr>
          <w:lang w:val="en-NZ"/>
        </w:rPr>
      </w:pPr>
      <w:r w:rsidRPr="009003E2">
        <w:rPr>
          <w:rStyle w:val="FootnoteReference"/>
        </w:rPr>
        <w:footnoteRef/>
      </w:r>
      <w:r w:rsidRPr="009003E2">
        <w:t xml:space="preserve"> </w:t>
      </w:r>
      <w:r w:rsidRPr="006476D4">
        <w:t>Australian National Health and Medical Research Council (NHMRC) and New Zealand Ministry of Health,</w:t>
      </w:r>
      <w:r>
        <w:t xml:space="preserve"> (2006)</w:t>
      </w:r>
      <w:r w:rsidRPr="006476D4">
        <w:t xml:space="preserve"> </w:t>
      </w:r>
      <w:r w:rsidRPr="00F120FE">
        <w:rPr>
          <w:i/>
        </w:rPr>
        <w:t>Nutrient Reference Values</w:t>
      </w:r>
      <w:r w:rsidRPr="00F120FE">
        <w:rPr>
          <w:rStyle w:val="Hyperlink"/>
          <w:i/>
          <w:color w:val="auto"/>
          <w:u w:val="none"/>
        </w:rPr>
        <w:t xml:space="preserve">. </w:t>
      </w:r>
      <w:r w:rsidRPr="00F120FE">
        <w:rPr>
          <w:rStyle w:val="Hyperlink"/>
          <w:color w:val="auto"/>
          <w:u w:val="none"/>
        </w:rPr>
        <w:t>Available at:</w:t>
      </w:r>
      <w:r w:rsidRPr="00F120FE">
        <w:rPr>
          <w:rStyle w:val="Hyperlink"/>
          <w:color w:val="auto"/>
        </w:rPr>
        <w:t xml:space="preserve"> </w:t>
      </w:r>
      <w:hyperlink r:id="rId58" w:history="1">
        <w:r w:rsidRPr="00395E6F">
          <w:rPr>
            <w:rStyle w:val="Hyperlink"/>
          </w:rPr>
          <w:t>https://www.nrv.gov.au/home</w:t>
        </w:r>
      </w:hyperlink>
      <w:r w:rsidRPr="009003E2">
        <w:rPr>
          <w:i/>
        </w:rPr>
        <w:t xml:space="preserve">. </w:t>
      </w:r>
    </w:p>
  </w:footnote>
  <w:footnote w:id="99">
    <w:p w14:paraId="62AFB5EA" w14:textId="58CF4DFD" w:rsidR="000F1209" w:rsidRPr="009003E2" w:rsidRDefault="000F1209">
      <w:pPr>
        <w:pStyle w:val="FootnoteText"/>
      </w:pPr>
      <w:r w:rsidRPr="009003E2">
        <w:rPr>
          <w:rStyle w:val="FootnoteReference"/>
        </w:rPr>
        <w:footnoteRef/>
      </w:r>
      <w:r w:rsidRPr="009003E2">
        <w:t xml:space="preserve"> Australian Bureau of Statistics (ABS), </w:t>
      </w:r>
      <w:r>
        <w:t>(</w:t>
      </w:r>
      <w:r w:rsidRPr="009003E2">
        <w:t>2015</w:t>
      </w:r>
      <w:r>
        <w:t>)</w:t>
      </w:r>
      <w:r w:rsidRPr="009003E2">
        <w:t xml:space="preserve"> </w:t>
      </w:r>
      <w:r w:rsidRPr="006327A0">
        <w:rPr>
          <w:i/>
        </w:rPr>
        <w:t>4727.0.55.005 - Australian Aboriginal and Torres Strait Islander Health Survey: Nutrition Results - Food and Nutrients, 2012-13</w:t>
      </w:r>
      <w:r>
        <w:t xml:space="preserve">. Available at: </w:t>
      </w:r>
      <w:hyperlink r:id="rId59" w:history="1">
        <w:r w:rsidRPr="00906ACB">
          <w:rPr>
            <w:rStyle w:val="Hyperlink"/>
          </w:rPr>
          <w:t>https://www.abs.gov.au/ausstats/abs@.nsf/Lookup/by%20Subject/4727.0.55.005~2012-13~Main%20Features~Fat~24</w:t>
        </w:r>
      </w:hyperlink>
      <w:r>
        <w:t xml:space="preserve"> </w:t>
      </w:r>
    </w:p>
  </w:footnote>
  <w:footnote w:id="100">
    <w:p w14:paraId="1C3917EA" w14:textId="1348BA67" w:rsidR="000F1209" w:rsidRPr="00F77E04" w:rsidRDefault="000F1209" w:rsidP="00223743">
      <w:pPr>
        <w:pStyle w:val="FootnoteText"/>
        <w:spacing w:line="259" w:lineRule="auto"/>
        <w:rPr>
          <w:rFonts w:ascii="Arial" w:hAnsi="Arial" w:cs="Arial"/>
          <w:lang w:val="en-NZ"/>
        </w:rPr>
      </w:pPr>
      <w:r w:rsidRPr="00F77E04">
        <w:rPr>
          <w:rStyle w:val="FootnoteReference"/>
        </w:rPr>
        <w:footnoteRef/>
      </w:r>
      <w:r w:rsidRPr="00F77E04">
        <w:t xml:space="preserve"> University of Otago and New Zealand Ministry of Health (2011) </w:t>
      </w:r>
      <w:r w:rsidRPr="00F77E04">
        <w:rPr>
          <w:i/>
        </w:rPr>
        <w:t>A focus on nutrition: key findings from the 2008/09 NZ Adult Nutrition Survey.</w:t>
      </w:r>
      <w:r w:rsidRPr="00F77E04">
        <w:t xml:space="preserve"> Available at: http:/www.health.govt.nz/publication/focus-nutrition-key-findings-2008-09-nz-adult-nutrition-survey. Note this is adults for 15 years and over</w:t>
      </w:r>
      <w:r w:rsidRPr="00F77E04">
        <w:rPr>
          <w:rFonts w:ascii="Arial" w:hAnsi="Arial" w:cs="Arial"/>
        </w:rPr>
        <w:t xml:space="preserve"> </w:t>
      </w:r>
    </w:p>
  </w:footnote>
  <w:footnote w:id="101">
    <w:p w14:paraId="50D9EA44" w14:textId="587F73CB" w:rsidR="000F1209" w:rsidRPr="00F77E04" w:rsidRDefault="000F1209" w:rsidP="00E626C9">
      <w:pPr>
        <w:spacing w:after="0"/>
        <w:rPr>
          <w:sz w:val="20"/>
          <w:szCs w:val="20"/>
        </w:rPr>
      </w:pPr>
      <w:r w:rsidRPr="00F77E04">
        <w:rPr>
          <w:rStyle w:val="FootnoteReference"/>
          <w:sz w:val="20"/>
          <w:szCs w:val="20"/>
        </w:rPr>
        <w:footnoteRef/>
      </w:r>
      <w:r w:rsidRPr="00F77E04">
        <w:rPr>
          <w:sz w:val="20"/>
          <w:szCs w:val="20"/>
        </w:rPr>
        <w:t xml:space="preserve"> New Zealand </w:t>
      </w:r>
      <w:r w:rsidRPr="00F77E04">
        <w:rPr>
          <w:rFonts w:eastAsia="Times New Roman"/>
          <w:sz w:val="20"/>
          <w:szCs w:val="20"/>
        </w:rPr>
        <w:t xml:space="preserve">Ministry of Health (2012), </w:t>
      </w:r>
      <w:hyperlink r:id="rId60" w:history="1">
        <w:r w:rsidRPr="00F77E04">
          <w:rPr>
            <w:rStyle w:val="Hyperlink"/>
            <w:rFonts w:eastAsia="Times New Roman"/>
            <w:i/>
            <w:sz w:val="20"/>
            <w:szCs w:val="20"/>
          </w:rPr>
          <w:t>A Focus on Māori Nutrition: Findings from the 2008/09 New Zealand Adult Nutrition Survey</w:t>
        </w:r>
        <w:r w:rsidRPr="00F77E04">
          <w:rPr>
            <w:rStyle w:val="Hyperlink"/>
            <w:rFonts w:eastAsia="Times New Roman"/>
            <w:sz w:val="20"/>
            <w:szCs w:val="20"/>
          </w:rPr>
          <w:t>.</w:t>
        </w:r>
      </w:hyperlink>
      <w:r w:rsidRPr="00F77E04">
        <w:rPr>
          <w:rFonts w:eastAsia="Times New Roman"/>
          <w:sz w:val="20"/>
          <w:szCs w:val="20"/>
        </w:rPr>
        <w:t xml:space="preserve"> Wellington: Ministry of Health.</w:t>
      </w:r>
    </w:p>
  </w:footnote>
  <w:footnote w:id="102">
    <w:p w14:paraId="071F93D2" w14:textId="309EA1B6" w:rsidR="000F1209" w:rsidRPr="00F77E04" w:rsidRDefault="000F1209" w:rsidP="00E626C9">
      <w:pPr>
        <w:spacing w:after="0"/>
        <w:rPr>
          <w:sz w:val="20"/>
          <w:szCs w:val="20"/>
        </w:rPr>
      </w:pPr>
      <w:r w:rsidRPr="00F77E04">
        <w:rPr>
          <w:rStyle w:val="FootnoteReference"/>
          <w:sz w:val="20"/>
          <w:szCs w:val="20"/>
        </w:rPr>
        <w:footnoteRef/>
      </w:r>
      <w:r w:rsidRPr="00F77E04">
        <w:rPr>
          <w:sz w:val="20"/>
          <w:szCs w:val="20"/>
        </w:rPr>
        <w:t xml:space="preserve"> </w:t>
      </w:r>
      <w:r w:rsidRPr="00F77E04">
        <w:rPr>
          <w:rFonts w:eastAsia="Times New Roman"/>
          <w:sz w:val="20"/>
          <w:szCs w:val="20"/>
        </w:rPr>
        <w:t xml:space="preserve">Ministry of Health 2012. </w:t>
      </w:r>
      <w:hyperlink r:id="rId61" w:history="1">
        <w:r w:rsidRPr="00F77E04">
          <w:rPr>
            <w:rStyle w:val="Hyperlink"/>
            <w:rFonts w:eastAsia="Times New Roman"/>
            <w:i/>
            <w:sz w:val="20"/>
            <w:szCs w:val="20"/>
          </w:rPr>
          <w:t>A Focus on Pacific Nutrition: Findings from the 2008/09 New Zealand Adult Nutrition Survey</w:t>
        </w:r>
      </w:hyperlink>
      <w:r w:rsidRPr="00F77E04">
        <w:rPr>
          <w:rFonts w:eastAsia="Times New Roman"/>
          <w:sz w:val="20"/>
          <w:szCs w:val="20"/>
        </w:rPr>
        <w:t>. Wellington: Ministry of Health.</w:t>
      </w:r>
    </w:p>
  </w:footnote>
  <w:footnote w:id="103">
    <w:p w14:paraId="555726C0" w14:textId="24E41364" w:rsidR="000F1209" w:rsidRPr="00F77E04" w:rsidRDefault="000F1209" w:rsidP="00E626C9">
      <w:pPr>
        <w:pStyle w:val="FootnoteText"/>
      </w:pPr>
      <w:r w:rsidRPr="00F77E04">
        <w:rPr>
          <w:rStyle w:val="FootnoteReference"/>
        </w:rPr>
        <w:footnoteRef/>
      </w:r>
      <w:r w:rsidRPr="00F77E04">
        <w:t xml:space="preserve"> </w:t>
      </w:r>
      <w:proofErr w:type="spellStart"/>
      <w:r>
        <w:t>Hyseni</w:t>
      </w:r>
      <w:proofErr w:type="spellEnd"/>
      <w:r>
        <w:t xml:space="preserve">, L. </w:t>
      </w:r>
      <w:r>
        <w:rPr>
          <w:i/>
          <w:iCs/>
        </w:rPr>
        <w:t>et al.</w:t>
      </w:r>
      <w:r>
        <w:t xml:space="preserve"> (2017) ‘The effects of policy actions to improve population dietary patterns and prevent diet-related non-communicable diseases: Scoping review’, </w:t>
      </w:r>
      <w:r>
        <w:rPr>
          <w:i/>
          <w:iCs/>
        </w:rPr>
        <w:t>European Journal of Clinical Nutrition</w:t>
      </w:r>
      <w:r>
        <w:t xml:space="preserve">. Nature Publishing Group, 71(6), pp. 694–711. </w:t>
      </w:r>
      <w:proofErr w:type="spellStart"/>
      <w:r>
        <w:t>doi</w:t>
      </w:r>
      <w:proofErr w:type="spellEnd"/>
      <w:r>
        <w:t>: 10.1038/ejcn.2016.234.</w:t>
      </w:r>
    </w:p>
  </w:footnote>
  <w:footnote w:id="104">
    <w:p w14:paraId="6115A945" w14:textId="54A3DAEC" w:rsidR="000F1209" w:rsidRPr="00F77E04" w:rsidRDefault="000F1209">
      <w:pPr>
        <w:pStyle w:val="FootnoteText"/>
      </w:pPr>
      <w:r w:rsidRPr="00F77E04">
        <w:rPr>
          <w:rStyle w:val="FootnoteReference"/>
        </w:rPr>
        <w:footnoteRef/>
      </w:r>
      <w:r w:rsidRPr="00F77E04">
        <w:t xml:space="preserve"> National Health and Medical Research Council (NHMRC) 2013, </w:t>
      </w:r>
      <w:hyperlink r:id="rId62" w:history="1">
        <w:r w:rsidRPr="00F77E04">
          <w:rPr>
            <w:rStyle w:val="Hyperlink"/>
            <w:i/>
          </w:rPr>
          <w:t>Australian Dietary Guidelines</w:t>
        </w:r>
      </w:hyperlink>
    </w:p>
  </w:footnote>
  <w:footnote w:id="105">
    <w:p w14:paraId="59681565" w14:textId="0344E8F2" w:rsidR="000F1209" w:rsidRPr="00043266" w:rsidRDefault="000F1209">
      <w:pPr>
        <w:pStyle w:val="FootnoteText"/>
      </w:pPr>
      <w:r w:rsidRPr="00F77E04">
        <w:rPr>
          <w:rStyle w:val="FootnoteReference"/>
        </w:rPr>
        <w:footnoteRef/>
      </w:r>
      <w:r w:rsidRPr="00F77E04">
        <w:t xml:space="preserve"> New Zealand Ministry of Health (2015), </w:t>
      </w:r>
      <w:r w:rsidRPr="00F77E04">
        <w:rPr>
          <w:i/>
        </w:rPr>
        <w:t xml:space="preserve">Eating and Activity Guidelines for New Zealand Adults, </w:t>
      </w:r>
      <w:r w:rsidRPr="00F77E04">
        <w:t>Wellington: Ministry of Health. Available at: https://www.health.govt.nz/publication/eating-and-activity-guidelines-new-zealand-adults</w:t>
      </w:r>
    </w:p>
  </w:footnote>
  <w:footnote w:id="106">
    <w:p w14:paraId="77E52AFD" w14:textId="3ACEF4B9" w:rsidR="000F1209" w:rsidRPr="008E68E7" w:rsidRDefault="000F1209" w:rsidP="00F77E04">
      <w:pPr>
        <w:pStyle w:val="FootnoteText"/>
      </w:pPr>
      <w:r w:rsidRPr="008E68E7">
        <w:rPr>
          <w:rStyle w:val="FootnoteReference"/>
        </w:rPr>
        <w:footnoteRef/>
      </w:r>
      <w:r w:rsidRPr="008E68E7">
        <w:t xml:space="preserve"> National Heart Foundation of Australia (2019) </w:t>
      </w:r>
      <w:r w:rsidRPr="008E68E7">
        <w:rPr>
          <w:i/>
        </w:rPr>
        <w:t>Dietary Position Statement: Dietary Fat and Heart Healthy Eating</w:t>
      </w:r>
      <w:r w:rsidRPr="008E68E7">
        <w:t>. Available at: https://www.heartfoundation.org.au/activities-finding-or-opinion/food-and-nutrition-position-statements</w:t>
      </w:r>
    </w:p>
  </w:footnote>
  <w:footnote w:id="107">
    <w:p w14:paraId="591ED4D1" w14:textId="03D74C2F" w:rsidR="000F1209" w:rsidRPr="008E68E7" w:rsidRDefault="000F1209" w:rsidP="00DE2355">
      <w:pPr>
        <w:pStyle w:val="FootnoteText"/>
      </w:pPr>
      <w:r w:rsidRPr="008E68E7">
        <w:rPr>
          <w:rStyle w:val="FootnoteReference"/>
        </w:rPr>
        <w:footnoteRef/>
      </w:r>
      <w:r w:rsidRPr="008E68E7">
        <w:t xml:space="preserve"> Australian Bureau of Agricultural and Resource Economics and Sciences (ABARES) (2018) </w:t>
      </w:r>
      <w:r w:rsidRPr="008E68E7">
        <w:rPr>
          <w:i/>
        </w:rPr>
        <w:t>Food demand in Australia: trends and issues 2018</w:t>
      </w:r>
      <w:r w:rsidRPr="008E68E7">
        <w:t xml:space="preserve">. Available at: </w:t>
      </w:r>
      <w:hyperlink r:id="rId63" w:history="1">
        <w:r w:rsidRPr="008E68E7">
          <w:rPr>
            <w:rStyle w:val="Hyperlink"/>
          </w:rPr>
          <w:t>http://data.daff.gov.au/data/warehouse/9aat/2018/fdati9aat20180822/FoodDemandInAustralia_20180822_v1.0.0.pdf</w:t>
        </w:r>
      </w:hyperlink>
      <w:r w:rsidRPr="008E68E7">
        <w:t xml:space="preserve"> </w:t>
      </w:r>
    </w:p>
  </w:footnote>
  <w:footnote w:id="108">
    <w:p w14:paraId="737ADF67" w14:textId="5F139E42" w:rsidR="000F1209" w:rsidRPr="008E68E7" w:rsidRDefault="000F1209" w:rsidP="00730A8C">
      <w:pPr>
        <w:pStyle w:val="Heading3"/>
        <w:spacing w:before="0"/>
        <w:rPr>
          <w:rFonts w:ascii="Times New Roman" w:hAnsi="Times New Roman" w:cs="Times New Roman"/>
          <w:color w:val="auto"/>
          <w:sz w:val="20"/>
          <w:szCs w:val="20"/>
          <w:u w:val="single"/>
        </w:rPr>
      </w:pPr>
      <w:r w:rsidRPr="008E68E7">
        <w:rPr>
          <w:rStyle w:val="FootnoteReference"/>
          <w:rFonts w:ascii="Times New Roman" w:hAnsi="Times New Roman" w:cs="Times New Roman"/>
          <w:color w:val="auto"/>
          <w:sz w:val="20"/>
          <w:szCs w:val="20"/>
        </w:rPr>
        <w:footnoteRef/>
      </w:r>
      <w:r w:rsidRPr="008E68E7">
        <w:rPr>
          <w:rFonts w:ascii="Times New Roman" w:hAnsi="Times New Roman" w:cs="Times New Roman"/>
          <w:color w:val="auto"/>
          <w:sz w:val="20"/>
          <w:szCs w:val="20"/>
        </w:rPr>
        <w:t xml:space="preserve"> </w:t>
      </w:r>
      <w:r w:rsidRPr="008E68E7">
        <w:rPr>
          <w:rFonts w:ascii="Times New Roman" w:eastAsia="Helvetica" w:hAnsi="Times New Roman" w:cs="Times New Roman"/>
          <w:color w:val="auto"/>
          <w:sz w:val="20"/>
          <w:szCs w:val="20"/>
        </w:rPr>
        <w:t xml:space="preserve">Statistics New Zealand (2016) </w:t>
      </w:r>
      <w:r w:rsidRPr="008E68E7">
        <w:rPr>
          <w:rFonts w:ascii="Times New Roman" w:eastAsia="Helvetica" w:hAnsi="Times New Roman" w:cs="Times New Roman"/>
          <w:i/>
          <w:color w:val="auto"/>
          <w:sz w:val="20"/>
          <w:szCs w:val="20"/>
        </w:rPr>
        <w:t>Household expenditure Statistics- Year ended June 2016</w:t>
      </w:r>
      <w:r w:rsidRPr="008E68E7">
        <w:rPr>
          <w:rFonts w:ascii="Times New Roman" w:eastAsia="Helvetica" w:hAnsi="Times New Roman" w:cs="Times New Roman"/>
          <w:color w:val="auto"/>
          <w:sz w:val="20"/>
          <w:szCs w:val="20"/>
        </w:rPr>
        <w:t xml:space="preserve">. Available at: </w:t>
      </w:r>
      <w:hyperlink r:id="rId64" w:history="1">
        <w:r w:rsidRPr="008E68E7">
          <w:rPr>
            <w:rStyle w:val="Hyperlink"/>
            <w:rFonts w:ascii="Times New Roman" w:eastAsia="Helvetica" w:hAnsi="Times New Roman" w:cs="Times New Roman"/>
            <w:sz w:val="20"/>
            <w:szCs w:val="20"/>
          </w:rPr>
          <w:t>https://www.stats.govt.nz/assets/Uploads/Household-expenditure-statistics/Household-expenditure-statistics-year-ended-june-2016/household-expenditure-statistics-year-ended-june-2016.xlsx</w:t>
        </w:r>
      </w:hyperlink>
      <w:r>
        <w:rPr>
          <w:rFonts w:ascii="Times New Roman" w:eastAsia="Helvetica" w:hAnsi="Times New Roman" w:cs="Times New Roman"/>
          <w:color w:val="auto"/>
          <w:sz w:val="20"/>
          <w:szCs w:val="20"/>
        </w:rPr>
        <w:t xml:space="preserve"> </w:t>
      </w:r>
    </w:p>
  </w:footnote>
  <w:footnote w:id="109">
    <w:p w14:paraId="68B8DD90" w14:textId="46A06B8C" w:rsidR="000F1209" w:rsidRPr="008E68E7" w:rsidRDefault="000F1209" w:rsidP="00DE2355">
      <w:pPr>
        <w:pStyle w:val="FootnoteText"/>
        <w:rPr>
          <w:lang w:val="en-US"/>
        </w:rPr>
      </w:pPr>
      <w:r w:rsidRPr="008E68E7">
        <w:rPr>
          <w:rStyle w:val="FootnoteReference"/>
        </w:rPr>
        <w:footnoteRef/>
      </w:r>
      <w:r w:rsidRPr="008E68E7">
        <w:t xml:space="preserve"> </w:t>
      </w:r>
      <w:r w:rsidRPr="008E68E7">
        <w:rPr>
          <w:lang w:val="en-US"/>
        </w:rPr>
        <w:t xml:space="preserve">Roy Morgan (2018) </w:t>
      </w:r>
      <w:r w:rsidRPr="008E68E7">
        <w:rPr>
          <w:i/>
          <w:lang w:val="en-US"/>
        </w:rPr>
        <w:t>Press Release: McDonald’s, KFC &amp; Subway most visited Aussie restaurants.</w:t>
      </w:r>
      <w:r w:rsidRPr="008E68E7">
        <w:rPr>
          <w:lang w:val="en-US"/>
        </w:rPr>
        <w:t xml:space="preserve"> Available at: </w:t>
      </w:r>
      <w:hyperlink r:id="rId65" w:history="1">
        <w:r w:rsidRPr="008E68E7">
          <w:rPr>
            <w:rStyle w:val="Hyperlink"/>
            <w:lang w:val="en-US"/>
          </w:rPr>
          <w:t>http://www.roymorgan.com/findings/7599-australian-eating-habits-eating-in-out-march-2018-201805290253</w:t>
        </w:r>
      </w:hyperlink>
      <w:r w:rsidRPr="008E68E7">
        <w:rPr>
          <w:lang w:val="en-US"/>
        </w:rPr>
        <w:t xml:space="preserve"> </w:t>
      </w:r>
    </w:p>
  </w:footnote>
  <w:footnote w:id="110">
    <w:p w14:paraId="1718BCC6" w14:textId="59CC1D3D" w:rsidR="000F1209" w:rsidRPr="008E68E7" w:rsidRDefault="000F1209" w:rsidP="00DE2355">
      <w:pPr>
        <w:pStyle w:val="FootnoteText"/>
        <w:rPr>
          <w:lang w:val="en-US"/>
        </w:rPr>
      </w:pPr>
      <w:r w:rsidRPr="008E68E7">
        <w:rPr>
          <w:rStyle w:val="FootnoteReference"/>
        </w:rPr>
        <w:footnoteRef/>
      </w:r>
      <w:r w:rsidRPr="008E68E7">
        <w:t xml:space="preserve"> </w:t>
      </w:r>
      <w:r w:rsidRPr="008E68E7">
        <w:rPr>
          <w:lang w:val="en-US"/>
        </w:rPr>
        <w:t xml:space="preserve">Roy Morgan (2018) </w:t>
      </w:r>
      <w:r w:rsidRPr="008E68E7">
        <w:rPr>
          <w:i/>
          <w:lang w:val="en-US"/>
        </w:rPr>
        <w:t>Press Release: McDonald’s, KFC &amp; Domino’s Pizza most visited NZ restaurants.</w:t>
      </w:r>
      <w:r w:rsidRPr="008E68E7">
        <w:rPr>
          <w:lang w:val="en-US"/>
        </w:rPr>
        <w:t xml:space="preserve"> Available at: </w:t>
      </w:r>
      <w:hyperlink r:id="rId66" w:history="1">
        <w:r w:rsidRPr="008E68E7">
          <w:rPr>
            <w:rStyle w:val="Hyperlink"/>
            <w:lang w:val="en-US"/>
          </w:rPr>
          <w:t>http://www.roymorgan.com/findings/7613-new-zealand-eating-habits-eating-in-out-qsr-restaurants-march-2018-201805310031</w:t>
        </w:r>
      </w:hyperlink>
      <w:r w:rsidRPr="008E68E7">
        <w:rPr>
          <w:lang w:val="en-US"/>
        </w:rPr>
        <w:t xml:space="preserve"> </w:t>
      </w:r>
    </w:p>
  </w:footnote>
  <w:footnote w:id="111">
    <w:p w14:paraId="2B0EBB24" w14:textId="790CE950" w:rsidR="000F1209" w:rsidRPr="00651158" w:rsidRDefault="000F1209" w:rsidP="00DE2355">
      <w:pPr>
        <w:pStyle w:val="FootnoteText"/>
        <w:rPr>
          <w:sz w:val="18"/>
          <w:szCs w:val="18"/>
        </w:rPr>
      </w:pPr>
      <w:r w:rsidRPr="008E68E7">
        <w:rPr>
          <w:rStyle w:val="FootnoteReference"/>
        </w:rPr>
        <w:footnoteRef/>
      </w:r>
      <w:r w:rsidRPr="008E68E7">
        <w:t xml:space="preserve"> Future Food (2019) </w:t>
      </w:r>
      <w:r w:rsidRPr="008E68E7">
        <w:rPr>
          <w:i/>
        </w:rPr>
        <w:t>Eating Out in Australia – Takeaway on Takeaways</w:t>
      </w:r>
      <w:r w:rsidRPr="008E68E7">
        <w:t>. Available at: https://futurefood.com.au/blog/2019/06/eating-out-in-australia-takeaways-on-takeaways</w:t>
      </w:r>
    </w:p>
  </w:footnote>
  <w:footnote w:id="112">
    <w:p w14:paraId="386D2A7A" w14:textId="4A1E12E0" w:rsidR="000F1209" w:rsidRPr="00137BC6" w:rsidRDefault="000F1209">
      <w:pPr>
        <w:pStyle w:val="FootnoteText"/>
        <w:rPr>
          <w:i/>
        </w:rPr>
      </w:pPr>
      <w:r w:rsidRPr="00137BC6">
        <w:rPr>
          <w:rStyle w:val="FootnoteReference"/>
        </w:rPr>
        <w:footnoteRef/>
      </w:r>
      <w:r w:rsidRPr="00137BC6">
        <w:t xml:space="preserve"> </w:t>
      </w:r>
      <w:r w:rsidRPr="007E7348">
        <w:t xml:space="preserve">World Health Organization (WHO) (2003) ‘Diet, nutrition and the prevention of chronic diseases. Report of a Joint WHO/FAO Expert Consultation’, </w:t>
      </w:r>
      <w:r w:rsidRPr="007E7348">
        <w:rPr>
          <w:i/>
          <w:iCs/>
        </w:rPr>
        <w:t>World Health Organization - Technical Report Series</w:t>
      </w:r>
      <w:r w:rsidRPr="007E7348">
        <w:t xml:space="preserve">, (916). </w:t>
      </w:r>
      <w:proofErr w:type="spellStart"/>
      <w:r w:rsidRPr="007E7348">
        <w:t>doi</w:t>
      </w:r>
      <w:proofErr w:type="spellEnd"/>
      <w:r w:rsidRPr="007E7348">
        <w:t>: 10.1093/</w:t>
      </w:r>
      <w:proofErr w:type="spellStart"/>
      <w:r w:rsidRPr="007E7348">
        <w:t>ajcn</w:t>
      </w:r>
      <w:proofErr w:type="spellEnd"/>
      <w:r w:rsidRPr="007E7348">
        <w:t>/60.4.644a.</w:t>
      </w:r>
    </w:p>
  </w:footnote>
  <w:footnote w:id="113">
    <w:p w14:paraId="4F035CE4" w14:textId="430ACBA2" w:rsidR="000F1209" w:rsidRPr="00FF5C9C" w:rsidRDefault="000F1209">
      <w:pPr>
        <w:pStyle w:val="FootnoteText"/>
      </w:pPr>
      <w:r w:rsidRPr="00137BC6">
        <w:rPr>
          <w:rStyle w:val="FootnoteReference"/>
        </w:rPr>
        <w:footnoteRef/>
      </w:r>
      <w:r w:rsidRPr="00137BC6">
        <w:t xml:space="preserve"> </w:t>
      </w:r>
      <w:r w:rsidRPr="006476D4">
        <w:t>Australian National Health and Medical Research Council (NHMRC) and New Zealand Ministry of Health,</w:t>
      </w:r>
      <w:r>
        <w:t xml:space="preserve"> (2006)</w:t>
      </w:r>
      <w:r w:rsidRPr="006476D4">
        <w:t xml:space="preserve"> </w:t>
      </w:r>
      <w:r w:rsidRPr="00F120FE">
        <w:rPr>
          <w:i/>
        </w:rPr>
        <w:t>Nutrient Reference Values</w:t>
      </w:r>
      <w:r w:rsidRPr="00F120FE">
        <w:rPr>
          <w:rStyle w:val="Hyperlink"/>
          <w:i/>
          <w:color w:val="auto"/>
          <w:u w:val="none"/>
        </w:rPr>
        <w:t xml:space="preserve">. </w:t>
      </w:r>
      <w:r w:rsidRPr="00F120FE">
        <w:rPr>
          <w:rStyle w:val="Hyperlink"/>
          <w:color w:val="auto"/>
          <w:u w:val="none"/>
        </w:rPr>
        <w:t>Available at:</w:t>
      </w:r>
      <w:r w:rsidRPr="00F120FE">
        <w:rPr>
          <w:rStyle w:val="Hyperlink"/>
          <w:color w:val="auto"/>
        </w:rPr>
        <w:t xml:space="preserve"> </w:t>
      </w:r>
      <w:hyperlink r:id="rId67" w:history="1">
        <w:r w:rsidRPr="00395E6F">
          <w:rPr>
            <w:rStyle w:val="Hyperlink"/>
          </w:rPr>
          <w:t>https://www.nrv.gov.au/home</w:t>
        </w:r>
      </w:hyperlink>
      <w:r w:rsidRPr="009003E2">
        <w:rPr>
          <w:i/>
        </w:rPr>
        <w:t>.</w:t>
      </w:r>
    </w:p>
  </w:footnote>
  <w:footnote w:id="114">
    <w:p w14:paraId="4FF78E3B" w14:textId="3FE4103B" w:rsidR="000F1209" w:rsidRDefault="000F1209" w:rsidP="4F93ADCF">
      <w:pPr>
        <w:pStyle w:val="FootnoteText"/>
      </w:pPr>
      <w:r w:rsidRPr="4F93ADCF">
        <w:rPr>
          <w:rStyle w:val="FootnoteReference"/>
        </w:rPr>
        <w:footnoteRef/>
      </w:r>
      <w:r>
        <w:t xml:space="preserve"> </w:t>
      </w:r>
      <w:proofErr w:type="spellStart"/>
      <w:r>
        <w:t>Mozaffarian</w:t>
      </w:r>
      <w:proofErr w:type="spellEnd"/>
      <w:r>
        <w:t xml:space="preserve">, D., </w:t>
      </w:r>
      <w:proofErr w:type="spellStart"/>
      <w:r>
        <w:t>Aro</w:t>
      </w:r>
      <w:proofErr w:type="spellEnd"/>
      <w:r>
        <w:t>, A. and Willett, W. (2009). ‘Health effects of </w:t>
      </w:r>
      <w:r w:rsidRPr="004B4AB0">
        <w:rPr>
          <w:iCs/>
        </w:rPr>
        <w:t>trans</w:t>
      </w:r>
      <w:r w:rsidRPr="004B4AB0">
        <w:t>-fatty</w:t>
      </w:r>
      <w:r>
        <w:t xml:space="preserve"> acids: experimental and observational evidence’. </w:t>
      </w:r>
      <w:proofErr w:type="spellStart"/>
      <w:r w:rsidRPr="4F93ADCF">
        <w:rPr>
          <w:i/>
          <w:iCs/>
        </w:rPr>
        <w:t>Eur</w:t>
      </w:r>
      <w:proofErr w:type="spellEnd"/>
      <w:r w:rsidRPr="4F93ADCF">
        <w:rPr>
          <w:i/>
          <w:iCs/>
        </w:rPr>
        <w:t xml:space="preserve"> J Clin </w:t>
      </w:r>
      <w:proofErr w:type="spellStart"/>
      <w:r w:rsidRPr="4F93ADCF">
        <w:rPr>
          <w:i/>
          <w:iCs/>
        </w:rPr>
        <w:t>Nutr</w:t>
      </w:r>
      <w:proofErr w:type="spellEnd"/>
      <w:r>
        <w:t> 63,</w:t>
      </w:r>
      <w:r w:rsidRPr="4F93ADCF">
        <w:rPr>
          <w:b/>
          <w:bCs/>
        </w:rPr>
        <w:t> </w:t>
      </w:r>
      <w:r>
        <w:t>S5–S21</w:t>
      </w:r>
    </w:p>
  </w:footnote>
  <w:footnote w:id="115">
    <w:p w14:paraId="624E9264" w14:textId="178937BF" w:rsidR="000F1209" w:rsidRDefault="000F1209" w:rsidP="4F93ADCF">
      <w:pPr>
        <w:pStyle w:val="FootnoteText"/>
      </w:pPr>
      <w:r w:rsidRPr="4F93ADCF">
        <w:rPr>
          <w:rStyle w:val="FootnoteReference"/>
        </w:rPr>
        <w:footnoteRef/>
      </w:r>
      <w:r>
        <w:t xml:space="preserve"> Clifton, P. and Keogh, J. (2017) ‘Dietary fats and cardiovascular disease: an Evidence Check rapid review brokered by the Sax Institute for the National Heart Foundation of Australia’. Available at: https://www.saxinstitute.org.au/wp-content/uploads/Dietary-fats-CVD-FINAL.pdf.</w:t>
      </w:r>
    </w:p>
  </w:footnote>
  <w:footnote w:id="116">
    <w:p w14:paraId="44D882B4" w14:textId="7F214C04" w:rsidR="000F1209" w:rsidRDefault="000F1209" w:rsidP="4F93ADCF">
      <w:pPr>
        <w:pStyle w:val="FootnoteText"/>
      </w:pPr>
      <w:r w:rsidRPr="4F93ADCF">
        <w:rPr>
          <w:rStyle w:val="FootnoteReference"/>
        </w:rPr>
        <w:footnoteRef/>
      </w:r>
      <w:r>
        <w:t xml:space="preserve"> De Souza, R. J. </w:t>
      </w:r>
      <w:r>
        <w:rPr>
          <w:i/>
          <w:iCs/>
        </w:rPr>
        <w:t>et al.</w:t>
      </w:r>
      <w:r>
        <w:t xml:space="preserve"> (2015) ‘Intake of saturated and trans unsaturated fatty acids and risk of </w:t>
      </w:r>
      <w:proofErr w:type="spellStart"/>
      <w:r>
        <w:t>all cause</w:t>
      </w:r>
      <w:proofErr w:type="spellEnd"/>
      <w:r>
        <w:t xml:space="preserve"> mortality, cardiovascular disease, and type 2 diabetes: Systematic review and meta-analysis of observational studies’, </w:t>
      </w:r>
      <w:r>
        <w:rPr>
          <w:i/>
          <w:iCs/>
        </w:rPr>
        <w:t>BMJ (Online)</w:t>
      </w:r>
      <w:r>
        <w:t xml:space="preserve">, 351, pp. 1–16. </w:t>
      </w:r>
      <w:proofErr w:type="spellStart"/>
      <w:r>
        <w:t>doi</w:t>
      </w:r>
      <w:proofErr w:type="spellEnd"/>
      <w:r>
        <w:t>: 10.1136/bmj.h3978.</w:t>
      </w:r>
    </w:p>
  </w:footnote>
  <w:footnote w:id="117">
    <w:p w14:paraId="4293E33B" w14:textId="3DD796A2" w:rsidR="000F1209" w:rsidRPr="00C86106" w:rsidRDefault="000F1209" w:rsidP="00652EF8">
      <w:pPr>
        <w:pStyle w:val="FootnoteText"/>
      </w:pPr>
      <w:r>
        <w:rPr>
          <w:rStyle w:val="FootnoteReference"/>
        </w:rPr>
        <w:footnoteRef/>
      </w:r>
      <w:r>
        <w:t xml:space="preserve"> </w:t>
      </w:r>
      <w:r w:rsidRPr="007E7348">
        <w:t xml:space="preserve">World Health Organization (WHO) (2003) ‘Diet, nutrition and the prevention of chronic diseases. Report of a Joint </w:t>
      </w:r>
      <w:r w:rsidRPr="00C86106">
        <w:t xml:space="preserve">WHO/FAO Expert Consultation’, </w:t>
      </w:r>
      <w:r w:rsidRPr="00C86106">
        <w:rPr>
          <w:i/>
          <w:iCs/>
        </w:rPr>
        <w:t>World Health Organization - Technical Report Series</w:t>
      </w:r>
      <w:r w:rsidRPr="00C86106">
        <w:t xml:space="preserve">, (916). </w:t>
      </w:r>
      <w:proofErr w:type="spellStart"/>
      <w:r w:rsidRPr="00C86106">
        <w:t>doi</w:t>
      </w:r>
      <w:proofErr w:type="spellEnd"/>
      <w:r w:rsidRPr="00C86106">
        <w:t>: 10.1093/</w:t>
      </w:r>
      <w:proofErr w:type="spellStart"/>
      <w:r w:rsidRPr="00C86106">
        <w:t>ajcn</w:t>
      </w:r>
      <w:proofErr w:type="spellEnd"/>
      <w:r w:rsidRPr="00C86106">
        <w:t>/60.4.644a.</w:t>
      </w:r>
    </w:p>
  </w:footnote>
  <w:footnote w:id="118">
    <w:p w14:paraId="6E0AA3E5" w14:textId="00A8359F" w:rsidR="000F1209" w:rsidRPr="00C86106" w:rsidRDefault="000F1209" w:rsidP="001D2369">
      <w:pPr>
        <w:pStyle w:val="FootnoteText"/>
      </w:pPr>
      <w:r w:rsidRPr="00C86106">
        <w:rPr>
          <w:rStyle w:val="FootnoteReference"/>
        </w:rPr>
        <w:footnoteRef/>
      </w:r>
      <w:r w:rsidRPr="00C86106">
        <w:t xml:space="preserve"> Institute of Health Metrics and Evaluation (IHME) (2020), </w:t>
      </w:r>
      <w:r w:rsidRPr="00C86106">
        <w:rPr>
          <w:i/>
          <w:iCs/>
        </w:rPr>
        <w:t>Global Burden of Disease 2017</w:t>
      </w:r>
      <w:r w:rsidRPr="00C86106">
        <w:t xml:space="preserve">. Available at: </w:t>
      </w:r>
      <w:hyperlink r:id="rId68" w:history="1">
        <w:r w:rsidRPr="00C86106">
          <w:rPr>
            <w:rStyle w:val="Hyperlink"/>
          </w:rPr>
          <w:t>http://ihmeuw.org/52z8</w:t>
        </w:r>
      </w:hyperlink>
    </w:p>
  </w:footnote>
  <w:footnote w:id="119">
    <w:p w14:paraId="415ED4BC" w14:textId="1622554B" w:rsidR="000F1209" w:rsidRPr="00700329" w:rsidRDefault="000F1209" w:rsidP="00C86106">
      <w:pPr>
        <w:pStyle w:val="FootnoteText"/>
        <w:rPr>
          <w:rFonts w:ascii="Arial" w:hAnsi="Arial" w:cs="Arial"/>
          <w:sz w:val="18"/>
          <w:szCs w:val="18"/>
          <w:lang w:val="en-NZ"/>
        </w:rPr>
      </w:pPr>
      <w:r w:rsidRPr="00C86106">
        <w:rPr>
          <w:rStyle w:val="FootnoteReference"/>
          <w:rFonts w:ascii="Arial" w:hAnsi="Arial" w:cs="Arial"/>
        </w:rPr>
        <w:footnoteRef/>
      </w:r>
      <w:r w:rsidRPr="00C86106">
        <w:rPr>
          <w:rFonts w:ascii="Arial" w:hAnsi="Arial" w:cs="Arial"/>
        </w:rPr>
        <w:t xml:space="preserve"> </w:t>
      </w:r>
      <w:r w:rsidRPr="00C86106">
        <w:t>Food Standards Australia New Zealand (FSANZ) (2009),</w:t>
      </w:r>
      <w:r w:rsidRPr="00C86106">
        <w:rPr>
          <w:i/>
        </w:rPr>
        <w:t xml:space="preserve"> Intakes of trans fatty acids in New Zealand and Australia. Review report – 2009 Assessment</w:t>
      </w:r>
      <w:r w:rsidRPr="00C86106">
        <w:t xml:space="preserve">. Available at: </w:t>
      </w:r>
      <w:hyperlink r:id="rId69" w:history="1">
        <w:r w:rsidRPr="00C86106">
          <w:rPr>
            <w:rStyle w:val="Hyperlink"/>
          </w:rPr>
          <w:t>http://www.foodstandards.gov.au/publications/documents/TFAs_intakes_2009.pdf</w:t>
        </w:r>
      </w:hyperlink>
      <w:r>
        <w:t xml:space="preserve"> </w:t>
      </w:r>
    </w:p>
  </w:footnote>
  <w:footnote w:id="120">
    <w:p w14:paraId="2FE93DF1" w14:textId="2DD59C80" w:rsidR="000F1209" w:rsidRPr="00A3412C" w:rsidRDefault="000F1209" w:rsidP="005967AB">
      <w:pPr>
        <w:pStyle w:val="FootnoteText"/>
      </w:pPr>
      <w:r>
        <w:rPr>
          <w:rStyle w:val="FootnoteReference"/>
        </w:rPr>
        <w:footnoteRef/>
      </w:r>
      <w:r>
        <w:t xml:space="preserve"> </w:t>
      </w:r>
      <w:r w:rsidRPr="00A3412C">
        <w:t xml:space="preserve">Australian Bureau of Statistics (ABS) (2014) </w:t>
      </w:r>
      <w:r w:rsidRPr="00A3412C">
        <w:rPr>
          <w:i/>
          <w:lang w:val="en"/>
        </w:rPr>
        <w:t>4364.0.55.007</w:t>
      </w:r>
      <w:r>
        <w:rPr>
          <w:lang w:val="en"/>
        </w:rPr>
        <w:t xml:space="preserve"> </w:t>
      </w:r>
      <w:r w:rsidRPr="00A3412C">
        <w:rPr>
          <w:i/>
        </w:rPr>
        <w:t>Australian Health Survey: Nutrition First Results- Food and Nutrients, 2011-12.</w:t>
      </w:r>
      <w:r>
        <w:rPr>
          <w:i/>
        </w:rPr>
        <w:t xml:space="preserve"> </w:t>
      </w:r>
      <w:r>
        <w:t xml:space="preserve">Available at: </w:t>
      </w:r>
      <w:hyperlink r:id="rId70" w:history="1">
        <w:r w:rsidRPr="00906ACB">
          <w:rPr>
            <w:rStyle w:val="Hyperlink"/>
          </w:rPr>
          <w:t>https://www.abs.gov.au/ausstats/abs@.nsf/Lookup/by%20Subject/4364.0.55.007~2011-12~Main%20Features~Macronutrients~703</w:t>
        </w:r>
      </w:hyperlink>
      <w:r>
        <w:t xml:space="preserve"> </w:t>
      </w:r>
    </w:p>
  </w:footnote>
  <w:footnote w:id="121">
    <w:p w14:paraId="0F2C710A" w14:textId="6268D99B" w:rsidR="000F1209" w:rsidRDefault="000F1209" w:rsidP="0074430D">
      <w:pPr>
        <w:pStyle w:val="FootnoteText"/>
      </w:pPr>
      <w:r>
        <w:rPr>
          <w:rStyle w:val="FootnoteReference"/>
        </w:rPr>
        <w:footnoteRef/>
      </w:r>
      <w:r>
        <w:t xml:space="preserve"> Wu, J. H. Y. </w:t>
      </w:r>
      <w:r>
        <w:rPr>
          <w:i/>
          <w:iCs/>
        </w:rPr>
        <w:t>et al.</w:t>
      </w:r>
      <w:r>
        <w:t xml:space="preserve"> (2017) </w:t>
      </w:r>
      <w:r>
        <w:rPr>
          <w:i/>
          <w:iCs/>
        </w:rPr>
        <w:t xml:space="preserve">Levels of trans fats in the food supply and population consumption in Australia: </w:t>
      </w:r>
      <w:proofErr w:type="gramStart"/>
      <w:r>
        <w:rPr>
          <w:i/>
          <w:iCs/>
        </w:rPr>
        <w:t>an</w:t>
      </w:r>
      <w:proofErr w:type="gramEnd"/>
      <w:r>
        <w:rPr>
          <w:i/>
          <w:iCs/>
        </w:rPr>
        <w:t xml:space="preserve"> Expert Commentary rapid review brokered by the Sax Institute for The National Heart Foundation of Australia</w:t>
      </w:r>
      <w:r>
        <w:t>. Available at: https://www.heartfoundation.org.au/getmedia/e27233c8-73d5-4c37-9416-ad7592af593c/Expert-Commentary-Levels-of-trans-fats-in-the-food-supply-and-consumption-in-Australia.pdf.</w:t>
      </w:r>
    </w:p>
  </w:footnote>
  <w:footnote w:id="122">
    <w:p w14:paraId="1F36C6B5" w14:textId="3CBA4DD3" w:rsidR="000F1209" w:rsidRDefault="000F1209">
      <w:pPr>
        <w:pStyle w:val="FootnoteText"/>
      </w:pPr>
      <w:r>
        <w:rPr>
          <w:rStyle w:val="FootnoteReference"/>
        </w:rPr>
        <w:footnoteRef/>
      </w:r>
      <w:r>
        <w:t xml:space="preserve"> Wu, J. H. Y. </w:t>
      </w:r>
      <w:r>
        <w:rPr>
          <w:i/>
          <w:iCs/>
        </w:rPr>
        <w:t>et al.</w:t>
      </w:r>
      <w:r>
        <w:t xml:space="preserve"> (2017) </w:t>
      </w:r>
      <w:r>
        <w:rPr>
          <w:i/>
          <w:iCs/>
        </w:rPr>
        <w:t xml:space="preserve">Levels of trans fats in the food supply and population consumption in Australia: </w:t>
      </w:r>
      <w:proofErr w:type="gramStart"/>
      <w:r>
        <w:rPr>
          <w:i/>
          <w:iCs/>
        </w:rPr>
        <w:t>an</w:t>
      </w:r>
      <w:proofErr w:type="gramEnd"/>
      <w:r>
        <w:rPr>
          <w:i/>
          <w:iCs/>
        </w:rPr>
        <w:t xml:space="preserve"> Expert Commentary rapid review brokered by the Sax Institute for The National Heart Foundation of Australia</w:t>
      </w:r>
      <w:r>
        <w:t xml:space="preserve">. Available at: </w:t>
      </w:r>
      <w:hyperlink r:id="rId71" w:history="1">
        <w:r w:rsidRPr="00906ACB">
          <w:rPr>
            <w:rStyle w:val="Hyperlink"/>
          </w:rPr>
          <w:t>https://www.heartfoundation.org.au/getmedia/e27233c8-73d5-4c37-9416-ad7592af593c/Expert-Commentary-Levels-of-trans-fats-in-the-food-supply-and-consumption-in-Australia.pdf</w:t>
        </w:r>
      </w:hyperlink>
      <w:r>
        <w:t>. (</w:t>
      </w:r>
      <w:proofErr w:type="gramStart"/>
      <w:r>
        <w:t>page</w:t>
      </w:r>
      <w:proofErr w:type="gramEnd"/>
      <w:r>
        <w:t xml:space="preserve"> 12)</w:t>
      </w:r>
    </w:p>
  </w:footnote>
  <w:footnote w:id="123">
    <w:p w14:paraId="1F220FD6" w14:textId="51E34E19" w:rsidR="000F1209" w:rsidRDefault="000F1209" w:rsidP="00E31B91">
      <w:pPr>
        <w:pStyle w:val="FootnoteText"/>
      </w:pPr>
      <w:r>
        <w:rPr>
          <w:rStyle w:val="FootnoteReference"/>
        </w:rPr>
        <w:footnoteRef/>
      </w:r>
      <w:r>
        <w:t xml:space="preserve"> </w:t>
      </w:r>
      <w:r w:rsidRPr="00046068">
        <w:t>Food Standard</w:t>
      </w:r>
      <w:r>
        <w:t>s Australia New Zealand (FSANZ) (2017)</w:t>
      </w:r>
      <w:r w:rsidRPr="00046068">
        <w:t xml:space="preserve"> </w:t>
      </w:r>
      <w:r w:rsidRPr="002F34E2">
        <w:rPr>
          <w:i/>
        </w:rPr>
        <w:t>Assessment of Trans Fatty Acids in Imported Oils.</w:t>
      </w:r>
      <w:r>
        <w:t xml:space="preserve"> Available at:</w:t>
      </w:r>
      <w:r w:rsidRPr="00046068">
        <w:t xml:space="preserve"> </w:t>
      </w:r>
      <w:hyperlink r:id="rId72" w:history="1">
        <w:r>
          <w:rPr>
            <w:rStyle w:val="Hyperlink"/>
          </w:rPr>
          <w:t>https://www.foodstandards.gov.au/publications/Documents/Assessment%20of%20Trans%20Fatty%20Acids%20in%20Imported%20Oils.pdf</w:t>
        </w:r>
      </w:hyperlink>
    </w:p>
  </w:footnote>
  <w:footnote w:id="124">
    <w:p w14:paraId="4ED90374" w14:textId="0E6EFFE8" w:rsidR="000F1209" w:rsidRDefault="000F1209">
      <w:pPr>
        <w:pStyle w:val="FootnoteText"/>
      </w:pPr>
      <w:r>
        <w:rPr>
          <w:rStyle w:val="FootnoteReference"/>
        </w:rPr>
        <w:footnoteRef/>
      </w:r>
      <w:r>
        <w:t xml:space="preserve"> Huang, L. </w:t>
      </w:r>
      <w:r>
        <w:rPr>
          <w:i/>
          <w:iCs/>
        </w:rPr>
        <w:t>et al.</w:t>
      </w:r>
      <w:r>
        <w:t xml:space="preserve"> (2020) ‘Presence of trans fatty acids containing ingredients in pre-packaged foods in Australia in 2018’, </w:t>
      </w:r>
      <w:r>
        <w:rPr>
          <w:i/>
          <w:iCs/>
        </w:rPr>
        <w:t>Australian and New Zealand Journal of Public Health</w:t>
      </w:r>
      <w:r>
        <w:t xml:space="preserve">, pp. 1–2. </w:t>
      </w:r>
      <w:proofErr w:type="spellStart"/>
      <w:r>
        <w:t>doi</w:t>
      </w:r>
      <w:proofErr w:type="spellEnd"/>
      <w:r>
        <w:t>: 10.1111/1753-6405.13014.</w:t>
      </w:r>
    </w:p>
  </w:footnote>
  <w:footnote w:id="125">
    <w:p w14:paraId="1B4BDE18" w14:textId="5472444D" w:rsidR="000F1209" w:rsidRPr="0024690C" w:rsidRDefault="000F1209" w:rsidP="00E31B91">
      <w:pPr>
        <w:pStyle w:val="NormalWeb"/>
        <w:spacing w:after="0"/>
        <w:rPr>
          <w:rFonts w:eastAsia="Times New Roman"/>
          <w:sz w:val="20"/>
          <w:szCs w:val="20"/>
          <w:lang w:eastAsia="en-AU"/>
        </w:rPr>
      </w:pPr>
      <w:r w:rsidRPr="0024690C">
        <w:rPr>
          <w:rStyle w:val="FootnoteReference"/>
          <w:sz w:val="20"/>
          <w:szCs w:val="20"/>
        </w:rPr>
        <w:footnoteRef/>
      </w:r>
      <w:r w:rsidRPr="0024690C">
        <w:rPr>
          <w:sz w:val="20"/>
          <w:szCs w:val="20"/>
        </w:rPr>
        <w:t xml:space="preserve"> </w:t>
      </w:r>
      <w:r w:rsidRPr="0024690C">
        <w:rPr>
          <w:rFonts w:eastAsia="Times New Roman"/>
          <w:sz w:val="20"/>
          <w:szCs w:val="20"/>
          <w:lang w:eastAsia="en-AU"/>
        </w:rPr>
        <w:t xml:space="preserve">World Health Organization (WHO) (2019). </w:t>
      </w:r>
      <w:r w:rsidRPr="0024690C">
        <w:rPr>
          <w:rFonts w:eastAsia="Times New Roman"/>
          <w:i/>
          <w:iCs/>
          <w:sz w:val="20"/>
          <w:szCs w:val="20"/>
          <w:lang w:eastAsia="en-AU"/>
        </w:rPr>
        <w:t>Countdown to 2023: WHO report on global trans-fat elimination 2019</w:t>
      </w:r>
      <w:r w:rsidRPr="0024690C">
        <w:rPr>
          <w:rFonts w:eastAsia="Times New Roman"/>
          <w:sz w:val="20"/>
          <w:szCs w:val="20"/>
          <w:lang w:eastAsia="en-AU"/>
        </w:rPr>
        <w:t>. https://apps.who.int/iris/bitstream/handle/10665/331300/9789241516440-eng.pdf</w:t>
      </w:r>
    </w:p>
  </w:footnote>
  <w:footnote w:id="126">
    <w:p w14:paraId="61A85D04" w14:textId="5B01EF9B" w:rsidR="000F1209" w:rsidRPr="0024690C" w:rsidRDefault="000F1209" w:rsidP="00E31B91">
      <w:pPr>
        <w:pStyle w:val="FootnoteText"/>
      </w:pPr>
      <w:r w:rsidRPr="0024690C">
        <w:rPr>
          <w:rStyle w:val="FootnoteReference"/>
        </w:rPr>
        <w:footnoteRef/>
      </w:r>
      <w:r w:rsidRPr="0024690C">
        <w:t xml:space="preserve"> Restrepo BJ and Rieger M (2016), ‘Denmark’s Policy on artificial </w:t>
      </w:r>
      <w:proofErr w:type="spellStart"/>
      <w:r w:rsidRPr="0024690C">
        <w:t>trans fat</w:t>
      </w:r>
      <w:proofErr w:type="spellEnd"/>
      <w:r w:rsidRPr="0024690C">
        <w:t xml:space="preserve"> and cardiovascular disease’, </w:t>
      </w:r>
      <w:r w:rsidRPr="0024690C">
        <w:rPr>
          <w:i/>
        </w:rPr>
        <w:t xml:space="preserve">American Journal of Preventive Medicine, </w:t>
      </w:r>
      <w:r w:rsidRPr="0024690C">
        <w:t>50(1); 69-76.</w:t>
      </w:r>
    </w:p>
  </w:footnote>
  <w:footnote w:id="127">
    <w:p w14:paraId="63AD3B44" w14:textId="620A0DA8" w:rsidR="000F1209" w:rsidRPr="0024690C" w:rsidRDefault="000F1209" w:rsidP="00062227">
      <w:pPr>
        <w:pStyle w:val="FootnoteText"/>
      </w:pPr>
      <w:r w:rsidRPr="0024690C">
        <w:rPr>
          <w:rStyle w:val="FootnoteReference"/>
        </w:rPr>
        <w:footnoteRef/>
      </w:r>
      <w:r w:rsidRPr="0024690C">
        <w:t xml:space="preserve"> </w:t>
      </w:r>
      <w:r w:rsidRPr="0024690C">
        <w:rPr>
          <w:rFonts w:eastAsia="Times New Roman"/>
          <w:lang w:eastAsia="en-AU"/>
        </w:rPr>
        <w:t xml:space="preserve">Kaldor, J. C. (2018) ‘Food Reformulation for NCD-Prevention: Regulatory Options and Potential Barriers’, </w:t>
      </w:r>
      <w:r w:rsidRPr="0024690C">
        <w:rPr>
          <w:rFonts w:eastAsia="Times New Roman"/>
          <w:i/>
          <w:iCs/>
          <w:lang w:eastAsia="en-AU"/>
        </w:rPr>
        <w:t>QUT Law Review</w:t>
      </w:r>
      <w:r w:rsidRPr="0024690C">
        <w:rPr>
          <w:rFonts w:eastAsia="Times New Roman"/>
          <w:lang w:eastAsia="en-AU"/>
        </w:rPr>
        <w:t xml:space="preserve">, 18(1), p. 76. </w:t>
      </w:r>
      <w:proofErr w:type="spellStart"/>
      <w:r w:rsidRPr="0024690C">
        <w:rPr>
          <w:rFonts w:eastAsia="Times New Roman"/>
          <w:lang w:eastAsia="en-AU"/>
        </w:rPr>
        <w:t>doi</w:t>
      </w:r>
      <w:proofErr w:type="spellEnd"/>
      <w:r w:rsidRPr="0024690C">
        <w:rPr>
          <w:rFonts w:eastAsia="Times New Roman"/>
          <w:lang w:eastAsia="en-AU"/>
        </w:rPr>
        <w:t>: 10.5204/</w:t>
      </w:r>
      <w:proofErr w:type="gramStart"/>
      <w:r w:rsidRPr="0024690C">
        <w:rPr>
          <w:rFonts w:eastAsia="Times New Roman"/>
          <w:lang w:eastAsia="en-AU"/>
        </w:rPr>
        <w:t>qutlr.v</w:t>
      </w:r>
      <w:proofErr w:type="gramEnd"/>
      <w:r w:rsidRPr="0024690C">
        <w:rPr>
          <w:rFonts w:eastAsia="Times New Roman"/>
          <w:lang w:eastAsia="en-AU"/>
        </w:rPr>
        <w:t>18i1.729.</w:t>
      </w:r>
    </w:p>
  </w:footnote>
  <w:footnote w:id="128">
    <w:p w14:paraId="084A8CFA" w14:textId="77777777" w:rsidR="000F1209" w:rsidRPr="0024690C" w:rsidRDefault="000F1209" w:rsidP="00C70A25">
      <w:pPr>
        <w:pStyle w:val="FootnoteText"/>
        <w:rPr>
          <w:b/>
        </w:rPr>
      </w:pPr>
      <w:r w:rsidRPr="0024690C">
        <w:rPr>
          <w:rStyle w:val="FootnoteReference"/>
        </w:rPr>
        <w:footnoteRef/>
      </w:r>
      <w:r w:rsidRPr="0024690C">
        <w:t xml:space="preserve"> Food Standards Australia New Zealand (FSANZ) (2009)</w:t>
      </w:r>
      <w:r w:rsidRPr="0024690C">
        <w:rPr>
          <w:i/>
        </w:rPr>
        <w:t xml:space="preserve"> Intakes of trans fatty acids in New Zealand and Australia. Review report – 2009 Assessment</w:t>
      </w:r>
      <w:r w:rsidRPr="0024690C">
        <w:t xml:space="preserve">. Available at: </w:t>
      </w:r>
      <w:hyperlink r:id="rId73" w:history="1">
        <w:r w:rsidRPr="0024690C">
          <w:rPr>
            <w:rStyle w:val="Hyperlink"/>
          </w:rPr>
          <w:t>http://www.foodstandards.gov.au/publications/documents/TFAs_intakes_2009.pdf</w:t>
        </w:r>
      </w:hyperlink>
      <w:r w:rsidRPr="0024690C">
        <w:t xml:space="preserve"> </w:t>
      </w:r>
    </w:p>
  </w:footnote>
  <w:footnote w:id="129">
    <w:p w14:paraId="7108E4AA" w14:textId="12BDC298" w:rsidR="000F1209" w:rsidRPr="0024690C" w:rsidRDefault="000F1209" w:rsidP="0007044F">
      <w:pPr>
        <w:pStyle w:val="FootnoteText"/>
      </w:pPr>
      <w:r w:rsidRPr="0024690C">
        <w:rPr>
          <w:rStyle w:val="FootnoteReference"/>
        </w:rPr>
        <w:footnoteRef/>
      </w:r>
      <w:r w:rsidRPr="0024690C">
        <w:t xml:space="preserve"> World Health Organization (WHO) (2018), </w:t>
      </w:r>
      <w:r w:rsidRPr="0024690C">
        <w:rPr>
          <w:i/>
        </w:rPr>
        <w:t xml:space="preserve">Replace Trans Fat: Frequently Asked Questions. </w:t>
      </w:r>
      <w:r w:rsidRPr="0024690C">
        <w:t xml:space="preserve">Available at: </w:t>
      </w:r>
      <w:hyperlink r:id="rId74" w:history="1">
        <w:r w:rsidRPr="0024690C">
          <w:rPr>
            <w:rStyle w:val="Hyperlink"/>
          </w:rPr>
          <w:t>https://www.who.int/docs/default-source/documents/replace-transfats/replace-trans-fat-faqs.pdf?Status=Temp&amp;sfvrsn=956d171f_6</w:t>
        </w:r>
      </w:hyperlink>
      <w:r w:rsidRPr="0024690C">
        <w:t xml:space="preserve"> </w:t>
      </w:r>
    </w:p>
  </w:footnote>
  <w:footnote w:id="130">
    <w:p w14:paraId="7D395214" w14:textId="3971D205" w:rsidR="000F1209" w:rsidRPr="0024690C" w:rsidRDefault="000F1209" w:rsidP="0007044F">
      <w:pPr>
        <w:pStyle w:val="FootnoteText"/>
      </w:pPr>
      <w:r w:rsidRPr="0024690C">
        <w:rPr>
          <w:rStyle w:val="FootnoteReference"/>
        </w:rPr>
        <w:footnoteRef/>
      </w:r>
      <w:r w:rsidRPr="0024690C">
        <w:t xml:space="preserve"> Downs, S. M., </w:t>
      </w:r>
      <w:proofErr w:type="spellStart"/>
      <w:r w:rsidRPr="0024690C">
        <w:t>Thow</w:t>
      </w:r>
      <w:proofErr w:type="spellEnd"/>
      <w:r w:rsidRPr="0024690C">
        <w:t xml:space="preserve">, A. M. and Leeder, S. R. (2013) ‘The effectiveness of policies for reducing dietary </w:t>
      </w:r>
      <w:proofErr w:type="spellStart"/>
      <w:r w:rsidRPr="0024690C">
        <w:t>trans fat</w:t>
      </w:r>
      <w:proofErr w:type="spellEnd"/>
      <w:r w:rsidRPr="0024690C">
        <w:t xml:space="preserve">: a systematic review of the evidence’, </w:t>
      </w:r>
      <w:r w:rsidRPr="0024690C">
        <w:rPr>
          <w:i/>
          <w:iCs/>
        </w:rPr>
        <w:t>Bulletin of the World Health Organization</w:t>
      </w:r>
      <w:r w:rsidRPr="0024690C">
        <w:t xml:space="preserve">, 91, p. 262–269H. </w:t>
      </w:r>
      <w:proofErr w:type="spellStart"/>
      <w:r w:rsidRPr="0024690C">
        <w:t>doi</w:t>
      </w:r>
      <w:proofErr w:type="spellEnd"/>
      <w:r w:rsidRPr="0024690C">
        <w:t>: 10.2471/BLT.12.111468.</w:t>
      </w:r>
    </w:p>
  </w:footnote>
  <w:footnote w:id="131">
    <w:p w14:paraId="13445A83" w14:textId="49E1EE29" w:rsidR="000F1209" w:rsidRPr="0024690C" w:rsidRDefault="000F1209">
      <w:pPr>
        <w:pStyle w:val="FootnoteText"/>
      </w:pPr>
      <w:r w:rsidRPr="0024690C">
        <w:rPr>
          <w:rStyle w:val="FootnoteReference"/>
        </w:rPr>
        <w:footnoteRef/>
      </w:r>
      <w:r w:rsidRPr="0024690C">
        <w:t xml:space="preserve"> Australian Institute of Health and Welfare 2019. Indicators of socioeconomic inequalities in cardiovascular disease, diabetes and chronic kidney disease. Cat. no. CDK 12. Canberra: AIHW.</w:t>
      </w:r>
    </w:p>
  </w:footnote>
  <w:footnote w:id="132">
    <w:p w14:paraId="36F95158" w14:textId="0E7F4C4C" w:rsidR="000F1209" w:rsidRPr="0024690C" w:rsidRDefault="000F1209" w:rsidP="0007044F">
      <w:pPr>
        <w:pStyle w:val="FootnoteText"/>
        <w:rPr>
          <w:i/>
        </w:rPr>
      </w:pPr>
      <w:r w:rsidRPr="0024690C">
        <w:rPr>
          <w:rStyle w:val="FootnoteReference"/>
        </w:rPr>
        <w:footnoteRef/>
      </w:r>
      <w:r w:rsidRPr="0024690C">
        <w:t xml:space="preserve"> King, E. L. </w:t>
      </w:r>
      <w:r w:rsidRPr="0024690C">
        <w:rPr>
          <w:i/>
          <w:iCs/>
        </w:rPr>
        <w:t>et al.</w:t>
      </w:r>
      <w:r w:rsidRPr="0024690C">
        <w:t xml:space="preserve"> (2013) ‘Evaluating the effectiveness of an Australian obesity mass-media campaign: How did the “Measure-Up” campaign measure up in New South Wales?’, </w:t>
      </w:r>
      <w:r w:rsidRPr="0024690C">
        <w:rPr>
          <w:i/>
          <w:iCs/>
        </w:rPr>
        <w:t>Health Education Research</w:t>
      </w:r>
      <w:r w:rsidRPr="0024690C">
        <w:t xml:space="preserve">, 28(6), pp. 1029–1039. </w:t>
      </w:r>
      <w:proofErr w:type="spellStart"/>
      <w:r w:rsidRPr="0024690C">
        <w:t>doi</w:t>
      </w:r>
      <w:proofErr w:type="spellEnd"/>
      <w:r w:rsidRPr="0024690C">
        <w:t>: 10.1093/her/cyt084.</w:t>
      </w:r>
    </w:p>
  </w:footnote>
  <w:footnote w:id="133">
    <w:p w14:paraId="15B2661A" w14:textId="11F12C56" w:rsidR="000F1209" w:rsidRPr="0024690C" w:rsidRDefault="000F1209" w:rsidP="0007044F">
      <w:pPr>
        <w:pStyle w:val="FootnoteText"/>
      </w:pPr>
      <w:r w:rsidRPr="0024690C">
        <w:rPr>
          <w:rStyle w:val="FootnoteReference"/>
        </w:rPr>
        <w:footnoteRef/>
      </w:r>
      <w:r w:rsidRPr="0024690C">
        <w:t xml:space="preserve"> </w:t>
      </w:r>
      <w:proofErr w:type="spellStart"/>
      <w:r w:rsidRPr="0024690C">
        <w:t>Soederberg</w:t>
      </w:r>
      <w:proofErr w:type="spellEnd"/>
      <w:r w:rsidRPr="0024690C">
        <w:t xml:space="preserve"> Miller, L. M. and Cassady, D. L. (2015) ‘Food Label Knowledge. A systematic review’, </w:t>
      </w:r>
      <w:r w:rsidRPr="0024690C">
        <w:rPr>
          <w:i/>
          <w:iCs/>
        </w:rPr>
        <w:t>Appetite</w:t>
      </w:r>
      <w:r w:rsidRPr="0024690C">
        <w:t xml:space="preserve">, 92(1), pp. 207–216. </w:t>
      </w:r>
      <w:proofErr w:type="spellStart"/>
      <w:r w:rsidRPr="0024690C">
        <w:t>doi</w:t>
      </w:r>
      <w:proofErr w:type="spellEnd"/>
      <w:r w:rsidRPr="0024690C">
        <w:t>: 10.1016/j.appet.2015.05.029.</w:t>
      </w:r>
    </w:p>
  </w:footnote>
  <w:footnote w:id="134">
    <w:p w14:paraId="40C56AC9" w14:textId="2D307EAA" w:rsidR="000F1209" w:rsidRPr="0024690C" w:rsidRDefault="000F1209" w:rsidP="0007044F">
      <w:pPr>
        <w:pStyle w:val="FootnoteText"/>
      </w:pPr>
      <w:r w:rsidRPr="0024690C">
        <w:rPr>
          <w:rStyle w:val="FootnoteReference"/>
        </w:rPr>
        <w:footnoteRef/>
      </w:r>
      <w:r w:rsidRPr="0024690C">
        <w:t xml:space="preserve"> World Health Organization (WHO) (2018), </w:t>
      </w:r>
      <w:r w:rsidRPr="0024690C">
        <w:rPr>
          <w:i/>
        </w:rPr>
        <w:t>Replace Trans Fat: Frequently Asked Questions.</w:t>
      </w:r>
      <w:r w:rsidRPr="0024690C">
        <w:t xml:space="preserve"> Available at: </w:t>
      </w:r>
      <w:hyperlink r:id="rId75" w:history="1">
        <w:r w:rsidRPr="0024690C">
          <w:rPr>
            <w:rStyle w:val="Hyperlink"/>
          </w:rPr>
          <w:t>https://www.who.int/docs/default-source/documents/replace-transfats/replace-trans-fat-faqs.pdf?Status=Temp&amp;sfvrsn=956d171f_6</w:t>
        </w:r>
      </w:hyperlink>
      <w:r w:rsidRPr="0024690C">
        <w:t xml:space="preserve"> </w:t>
      </w:r>
    </w:p>
  </w:footnote>
  <w:footnote w:id="135">
    <w:p w14:paraId="6DB4D2C2" w14:textId="1747745D" w:rsidR="000F1209" w:rsidRDefault="000F1209" w:rsidP="0007044F">
      <w:pPr>
        <w:pStyle w:val="FootnoteText"/>
      </w:pPr>
      <w:r w:rsidRPr="0024690C">
        <w:rPr>
          <w:rStyle w:val="FootnoteReference"/>
        </w:rPr>
        <w:footnoteRef/>
      </w:r>
      <w:r w:rsidRPr="0024690C">
        <w:t xml:space="preserve"> Downs, S. M., </w:t>
      </w:r>
      <w:proofErr w:type="spellStart"/>
      <w:r w:rsidRPr="0024690C">
        <w:t>Thow</w:t>
      </w:r>
      <w:proofErr w:type="spellEnd"/>
      <w:r w:rsidRPr="0024690C">
        <w:t xml:space="preserve">, A. M. and Leeder, S. R. (2013) ‘The effectiveness of policies for reducing dietary </w:t>
      </w:r>
      <w:proofErr w:type="spellStart"/>
      <w:r w:rsidRPr="0024690C">
        <w:t>trans fat</w:t>
      </w:r>
      <w:proofErr w:type="spellEnd"/>
      <w:r w:rsidRPr="0024690C">
        <w:t xml:space="preserve">: a systematic review of the evidence’, </w:t>
      </w:r>
      <w:r w:rsidRPr="0024690C">
        <w:rPr>
          <w:i/>
          <w:iCs/>
        </w:rPr>
        <w:t>Bulletin of the World Health Organization</w:t>
      </w:r>
      <w:r w:rsidRPr="0024690C">
        <w:t xml:space="preserve">, 91, p. 262–269H. </w:t>
      </w:r>
      <w:proofErr w:type="spellStart"/>
      <w:r w:rsidRPr="0024690C">
        <w:t>doi</w:t>
      </w:r>
      <w:proofErr w:type="spellEnd"/>
      <w:r w:rsidRPr="0024690C">
        <w:t>: 10.2471/BLT.12.111468.</w:t>
      </w:r>
    </w:p>
  </w:footnote>
  <w:footnote w:id="136">
    <w:p w14:paraId="7CFFD0A6" w14:textId="633EE68B" w:rsidR="000F1209" w:rsidRDefault="000F1209">
      <w:pPr>
        <w:pStyle w:val="FootnoteText"/>
      </w:pPr>
      <w:r>
        <w:rPr>
          <w:rStyle w:val="FootnoteReference"/>
        </w:rPr>
        <w:footnoteRef/>
      </w:r>
      <w:r>
        <w:t xml:space="preserve"> </w:t>
      </w:r>
      <w:proofErr w:type="spellStart"/>
      <w:r>
        <w:t>Mok</w:t>
      </w:r>
      <w:proofErr w:type="spellEnd"/>
      <w:r>
        <w:t xml:space="preserve">, A. </w:t>
      </w:r>
      <w:r>
        <w:rPr>
          <w:i/>
          <w:iCs/>
        </w:rPr>
        <w:t>et al.</w:t>
      </w:r>
      <w:r>
        <w:t xml:space="preserve"> (2018) ‘Intake of free sugars and micronutrient dilution in Australian adults’, </w:t>
      </w:r>
      <w:r>
        <w:rPr>
          <w:i/>
          <w:iCs/>
        </w:rPr>
        <w:t>American Journal of Clinical Nutrition</w:t>
      </w:r>
      <w:r>
        <w:t xml:space="preserve">, 107(1), pp. 94–104. </w:t>
      </w:r>
      <w:proofErr w:type="spellStart"/>
      <w:r>
        <w:t>doi</w:t>
      </w:r>
      <w:proofErr w:type="spellEnd"/>
      <w:r>
        <w:t>: 10.1093/</w:t>
      </w:r>
      <w:proofErr w:type="spellStart"/>
      <w:r>
        <w:t>ajcn</w:t>
      </w:r>
      <w:proofErr w:type="spellEnd"/>
      <w:r>
        <w:t>/nqx008.</w:t>
      </w:r>
    </w:p>
  </w:footnote>
  <w:footnote w:id="137">
    <w:p w14:paraId="4336AC26" w14:textId="29C0BAF3" w:rsidR="000F1209" w:rsidRDefault="000F1209">
      <w:pPr>
        <w:pStyle w:val="FootnoteText"/>
      </w:pPr>
      <w:r>
        <w:rPr>
          <w:rStyle w:val="FootnoteReference"/>
        </w:rPr>
        <w:footnoteRef/>
      </w:r>
      <w:r>
        <w:t xml:space="preserve"> Louie, J. C. Y. and Tapsell, L. C. (2015) ‘Intake of total and added sugars and nutrient dilution in Australian children and adolescents’, </w:t>
      </w:r>
      <w:r>
        <w:rPr>
          <w:i/>
          <w:iCs/>
        </w:rPr>
        <w:t>British Journal of Nutrition</w:t>
      </w:r>
      <w:r>
        <w:t xml:space="preserve">, 114(11), pp. 1875–1886. </w:t>
      </w:r>
      <w:proofErr w:type="spellStart"/>
      <w:r>
        <w:t>doi</w:t>
      </w:r>
      <w:proofErr w:type="spellEnd"/>
      <w:r>
        <w:t>: 10.1017/S0007114515003542.</w:t>
      </w:r>
    </w:p>
  </w:footnote>
  <w:footnote w:id="138">
    <w:p w14:paraId="1873DE31" w14:textId="562F0CC2" w:rsidR="000F1209" w:rsidRDefault="000F1209">
      <w:pPr>
        <w:pStyle w:val="FootnoteText"/>
      </w:pPr>
      <w:r>
        <w:rPr>
          <w:rStyle w:val="FootnoteReference"/>
        </w:rPr>
        <w:footnoteRef/>
      </w:r>
      <w:r>
        <w:t xml:space="preserve"> Wong, T. H. T. </w:t>
      </w:r>
      <w:r>
        <w:rPr>
          <w:i/>
          <w:iCs/>
        </w:rPr>
        <w:t>et al.</w:t>
      </w:r>
      <w:r>
        <w:t xml:space="preserve"> (2019) </w:t>
      </w:r>
      <w:r>
        <w:rPr>
          <w:i/>
          <w:iCs/>
        </w:rPr>
        <w:t>Intake of free sugar and micronutrient dilution in Australian children and adolescents</w:t>
      </w:r>
      <w:r>
        <w:t xml:space="preserve">, </w:t>
      </w:r>
      <w:r>
        <w:rPr>
          <w:i/>
          <w:iCs/>
        </w:rPr>
        <w:t>European Journal of Nutrition</w:t>
      </w:r>
      <w:r>
        <w:t xml:space="preserve">. </w:t>
      </w:r>
      <w:proofErr w:type="spellStart"/>
      <w:r>
        <w:t>doi</w:t>
      </w:r>
      <w:proofErr w:type="spellEnd"/>
      <w:r>
        <w:t>: 10.1007/s00394-018-1801-3.</w:t>
      </w:r>
    </w:p>
  </w:footnote>
  <w:footnote w:id="139">
    <w:p w14:paraId="3B7DA2F7" w14:textId="77777777" w:rsidR="000F1209" w:rsidRDefault="000F1209" w:rsidP="003C7601">
      <w:pPr>
        <w:pStyle w:val="FootnoteText"/>
      </w:pPr>
      <w:r>
        <w:rPr>
          <w:rStyle w:val="FootnoteReference"/>
        </w:rPr>
        <w:footnoteRef/>
      </w:r>
      <w:r>
        <w:t xml:space="preserve"> World Health Organization (WHO) (2015) ‘Guideline: Sugars intake for adults and children’, </w:t>
      </w:r>
      <w:r>
        <w:rPr>
          <w:i/>
          <w:iCs/>
        </w:rPr>
        <w:t>World Health Organization</w:t>
      </w:r>
      <w:r>
        <w:t xml:space="preserve">. </w:t>
      </w:r>
      <w:proofErr w:type="spellStart"/>
      <w:r>
        <w:t>doi</w:t>
      </w:r>
      <w:proofErr w:type="spellEnd"/>
      <w:r>
        <w:t>: 10.1007/s10773-018-3697-3.</w:t>
      </w:r>
    </w:p>
  </w:footnote>
  <w:footnote w:id="140">
    <w:p w14:paraId="23C2EB90" w14:textId="65D7270C" w:rsidR="000F1209" w:rsidRDefault="000F1209">
      <w:pPr>
        <w:pStyle w:val="FootnoteText"/>
      </w:pPr>
      <w:r>
        <w:rPr>
          <w:rStyle w:val="FootnoteReference"/>
        </w:rPr>
        <w:footnoteRef/>
      </w:r>
      <w:r>
        <w:t xml:space="preserve"> </w:t>
      </w:r>
      <w:proofErr w:type="spellStart"/>
      <w:r>
        <w:t>Te</w:t>
      </w:r>
      <w:proofErr w:type="spellEnd"/>
      <w:r>
        <w:t xml:space="preserve"> </w:t>
      </w:r>
      <w:proofErr w:type="spellStart"/>
      <w:r>
        <w:t>Morenga</w:t>
      </w:r>
      <w:proofErr w:type="spellEnd"/>
      <w:r>
        <w:t xml:space="preserve">, L. A. </w:t>
      </w:r>
      <w:r>
        <w:rPr>
          <w:i/>
          <w:iCs/>
        </w:rPr>
        <w:t>et al.</w:t>
      </w:r>
      <w:r>
        <w:t xml:space="preserve"> (2014) ‘Dietary sugars and cardiometabolic risk: Systematic review and meta-analyses of randomized controlled trials of the effects on blood pressure and lipids’, </w:t>
      </w:r>
      <w:r>
        <w:rPr>
          <w:i/>
          <w:iCs/>
        </w:rPr>
        <w:t>American Journal of Clinical Nutrition</w:t>
      </w:r>
      <w:r>
        <w:t xml:space="preserve">, 100(1), pp. 65–79. </w:t>
      </w:r>
      <w:proofErr w:type="spellStart"/>
      <w:r>
        <w:t>doi</w:t>
      </w:r>
      <w:proofErr w:type="spellEnd"/>
      <w:r>
        <w:t>: 10.3945/ajcn.113.081521.</w:t>
      </w:r>
    </w:p>
  </w:footnote>
  <w:footnote w:id="141">
    <w:p w14:paraId="363F051C" w14:textId="58ABCF2B" w:rsidR="000F1209" w:rsidRDefault="000F1209">
      <w:pPr>
        <w:pStyle w:val="FootnoteText"/>
      </w:pPr>
      <w:r>
        <w:rPr>
          <w:rStyle w:val="FootnoteReference"/>
        </w:rPr>
        <w:footnoteRef/>
      </w:r>
      <w:r>
        <w:t xml:space="preserve"> Luger, M. </w:t>
      </w:r>
      <w:r>
        <w:rPr>
          <w:i/>
          <w:iCs/>
        </w:rPr>
        <w:t>et al.</w:t>
      </w:r>
      <w:r>
        <w:t xml:space="preserve"> (2018) ‘Sugar-Sweetened Beverages and Weight Gain in Children and Adults: A Systematic Review from 2013 to 2015 and a Comparison with Previous Studies’, </w:t>
      </w:r>
      <w:r>
        <w:rPr>
          <w:i/>
          <w:iCs/>
        </w:rPr>
        <w:t>Obesity Facts</w:t>
      </w:r>
      <w:r>
        <w:t xml:space="preserve">, 10(6), pp. 674–693. </w:t>
      </w:r>
      <w:proofErr w:type="spellStart"/>
      <w:r>
        <w:t>doi</w:t>
      </w:r>
      <w:proofErr w:type="spellEnd"/>
      <w:r>
        <w:t>: 10.1159/000484566.</w:t>
      </w:r>
    </w:p>
  </w:footnote>
  <w:footnote w:id="142">
    <w:p w14:paraId="1DFE8270" w14:textId="6F92C741" w:rsidR="000F1209" w:rsidRPr="00352E23" w:rsidRDefault="000F1209" w:rsidP="002C50DE">
      <w:pPr>
        <w:pStyle w:val="FootnoteText"/>
      </w:pPr>
      <w:r>
        <w:rPr>
          <w:rStyle w:val="FootnoteReference"/>
        </w:rPr>
        <w:footnoteRef/>
      </w:r>
      <w:r>
        <w:t xml:space="preserve"> </w:t>
      </w:r>
      <w:r w:rsidRPr="00352E23">
        <w:t>Australian Bureau of Statistics (ABS) (2014), ‘</w:t>
      </w:r>
      <w:r w:rsidRPr="00352E23">
        <w:rPr>
          <w:i/>
        </w:rPr>
        <w:t>Australian Health Survey: Consumption of Added Sugars, 2011-12.</w:t>
      </w:r>
      <w:r>
        <w:t xml:space="preserve"> Available at: </w:t>
      </w:r>
      <w:hyperlink r:id="rId76" w:history="1">
        <w:r w:rsidRPr="009801CC">
          <w:rPr>
            <w:rStyle w:val="Hyperlink"/>
          </w:rPr>
          <w:t>https://www.abs.gov.au/ausstats/abs@.nsf/Lookup/4364.0.55.011main+features12011-12</w:t>
        </w:r>
      </w:hyperlink>
      <w:r>
        <w:t xml:space="preserve"> </w:t>
      </w:r>
    </w:p>
  </w:footnote>
  <w:footnote w:id="143">
    <w:p w14:paraId="47DED02A" w14:textId="728FF105" w:rsidR="000F1209" w:rsidRPr="00EB6A04" w:rsidRDefault="000F1209" w:rsidP="002C50DE">
      <w:pPr>
        <w:pStyle w:val="FootnoteText"/>
        <w:rPr>
          <w:lang w:val="en-NZ"/>
        </w:rPr>
      </w:pPr>
      <w:r w:rsidRPr="00EB6A04">
        <w:rPr>
          <w:rStyle w:val="FootnoteReference"/>
        </w:rPr>
        <w:footnoteRef/>
      </w:r>
      <w:r w:rsidRPr="00EB6A04">
        <w:t xml:space="preserve"> </w:t>
      </w:r>
      <w:proofErr w:type="spellStart"/>
      <w:r w:rsidRPr="00EB6A04">
        <w:t>Kibblewhite</w:t>
      </w:r>
      <w:proofErr w:type="spellEnd"/>
      <w:r w:rsidRPr="00EB6A04">
        <w:t xml:space="preserve"> R. L. (2017) </w:t>
      </w:r>
      <w:r w:rsidRPr="00EB6A04">
        <w:rPr>
          <w:i/>
        </w:rPr>
        <w:t>Estimating free sugars intake in New Zealand [Thesis]</w:t>
      </w:r>
      <w:r w:rsidRPr="00EB6A04">
        <w:t xml:space="preserve">. Dunedin, New Zealand: University of Otago. Available at: </w:t>
      </w:r>
      <w:hyperlink r:id="rId77" w:history="1">
        <w:r w:rsidRPr="00EB6A04">
          <w:rPr>
            <w:rStyle w:val="Hyperlink"/>
          </w:rPr>
          <w:t>https://ourarchive.otago.ac.nz/handle/10523/7204</w:t>
        </w:r>
      </w:hyperlink>
      <w:r w:rsidRPr="00EB6A04">
        <w:t xml:space="preserve"> </w:t>
      </w:r>
    </w:p>
  </w:footnote>
  <w:footnote w:id="144">
    <w:p w14:paraId="49E4AE0E" w14:textId="3FDA6301" w:rsidR="000F1209" w:rsidRPr="00EB6A04" w:rsidRDefault="000F1209" w:rsidP="006D1BB1">
      <w:pPr>
        <w:pStyle w:val="FootnoteText"/>
        <w:rPr>
          <w:lang w:val="en-NZ"/>
        </w:rPr>
      </w:pPr>
      <w:r w:rsidRPr="00EB6A04">
        <w:rPr>
          <w:rStyle w:val="FootnoteReference"/>
        </w:rPr>
        <w:footnoteRef/>
      </w:r>
      <w:r w:rsidRPr="00EB6A04">
        <w:t xml:space="preserve"> University of Otago (2015) </w:t>
      </w:r>
      <w:r w:rsidRPr="00EB6A04">
        <w:rPr>
          <w:i/>
        </w:rPr>
        <w:t>Beverages as Sources of Sugars in the New Zealand Diet, 2008/09 New Zealand Adult Nutrition Survey</w:t>
      </w:r>
      <w:r w:rsidRPr="00EB6A04">
        <w:t>, Technical report no. 2015.139.</w:t>
      </w:r>
    </w:p>
  </w:footnote>
  <w:footnote w:id="145">
    <w:p w14:paraId="4987248F" w14:textId="0BFF39E9" w:rsidR="000F1209" w:rsidRPr="00EB6A04" w:rsidRDefault="000F1209" w:rsidP="00141F13">
      <w:pPr>
        <w:spacing w:after="0"/>
        <w:rPr>
          <w:sz w:val="20"/>
          <w:szCs w:val="20"/>
        </w:rPr>
      </w:pPr>
      <w:r w:rsidRPr="00EB6A04">
        <w:rPr>
          <w:rStyle w:val="FootnoteReference"/>
          <w:sz w:val="20"/>
          <w:szCs w:val="20"/>
        </w:rPr>
        <w:footnoteRef/>
      </w:r>
      <w:r w:rsidRPr="00EB6A04">
        <w:rPr>
          <w:sz w:val="20"/>
          <w:szCs w:val="20"/>
        </w:rPr>
        <w:t xml:space="preserve"> Institute of Health Metrics and Evaluation (IHME) (2020), </w:t>
      </w:r>
      <w:r w:rsidRPr="00EB6A04">
        <w:rPr>
          <w:i/>
          <w:iCs/>
          <w:sz w:val="20"/>
          <w:szCs w:val="20"/>
        </w:rPr>
        <w:t>Global Burden of Disease 2017</w:t>
      </w:r>
      <w:r w:rsidRPr="00EB6A04">
        <w:rPr>
          <w:sz w:val="20"/>
          <w:szCs w:val="20"/>
        </w:rPr>
        <w:t xml:space="preserve">. Available at: </w:t>
      </w:r>
      <w:hyperlink r:id="rId78" w:history="1">
        <w:r w:rsidRPr="00EB6A04">
          <w:rPr>
            <w:rStyle w:val="Hyperlink"/>
            <w:sz w:val="20"/>
            <w:szCs w:val="20"/>
          </w:rPr>
          <w:t>http://ihmeuw.org/52z8</w:t>
        </w:r>
      </w:hyperlink>
    </w:p>
  </w:footnote>
  <w:footnote w:id="146">
    <w:p w14:paraId="1E5FC670" w14:textId="461EDC20" w:rsidR="000F1209" w:rsidRDefault="000F1209" w:rsidP="00141F13">
      <w:pPr>
        <w:pStyle w:val="FootnoteText"/>
      </w:pPr>
      <w:r w:rsidRPr="00EB6A04">
        <w:rPr>
          <w:rStyle w:val="FootnoteReference"/>
        </w:rPr>
        <w:footnoteRef/>
      </w:r>
      <w:r w:rsidRPr="00EB6A04">
        <w:t xml:space="preserve"> Malik, V. S. </w:t>
      </w:r>
      <w:r w:rsidRPr="00EB6A04">
        <w:rPr>
          <w:i/>
          <w:iCs/>
        </w:rPr>
        <w:t>et al.</w:t>
      </w:r>
      <w:r w:rsidRPr="00EB6A04">
        <w:t xml:space="preserve"> (2013) ‘Sugar-sweetened beverages and weight gain in children and adults: a systematic review and meta-analysis’, </w:t>
      </w:r>
      <w:r w:rsidRPr="00EB6A04">
        <w:rPr>
          <w:i/>
          <w:iCs/>
        </w:rPr>
        <w:t>The American Journal of Clinical Nutrition</w:t>
      </w:r>
      <w:r w:rsidRPr="00EB6A04">
        <w:t xml:space="preserve">, 98, pp. 1084–1102. </w:t>
      </w:r>
      <w:proofErr w:type="spellStart"/>
      <w:r w:rsidRPr="00EB6A04">
        <w:t>doi</w:t>
      </w:r>
      <w:proofErr w:type="spellEnd"/>
      <w:r w:rsidRPr="00EB6A04">
        <w:t>: 10.3945/ajcn.113.058362.1.</w:t>
      </w:r>
    </w:p>
  </w:footnote>
  <w:footnote w:id="147">
    <w:p w14:paraId="7AC08A24" w14:textId="78E5A1ED" w:rsidR="000F1209" w:rsidRDefault="000F1209">
      <w:pPr>
        <w:pStyle w:val="FootnoteText"/>
      </w:pPr>
      <w:r>
        <w:rPr>
          <w:rStyle w:val="FootnoteReference"/>
        </w:rPr>
        <w:footnoteRef/>
      </w:r>
      <w:r>
        <w:t xml:space="preserve"> For example, Fanta Orange now contains 26g of sugar per 330mL. Sprite in Australia now contains 16g of sugar per 330mL and 28g of sugar in New Zealand. </w:t>
      </w:r>
    </w:p>
  </w:footnote>
  <w:footnote w:id="148">
    <w:p w14:paraId="5D5AE436" w14:textId="5213F18A" w:rsidR="000F1209" w:rsidRDefault="000F1209">
      <w:pPr>
        <w:pStyle w:val="FootnoteText"/>
      </w:pPr>
      <w:r>
        <w:rPr>
          <w:rStyle w:val="FootnoteReference"/>
        </w:rPr>
        <w:footnoteRef/>
      </w:r>
      <w:r>
        <w:t xml:space="preserve"> </w:t>
      </w:r>
      <w:r w:rsidRPr="007F4A24">
        <w:rPr>
          <w:iCs/>
          <w:lang w:val="en-NZ"/>
        </w:rPr>
        <w:t xml:space="preserve">New Zealand Gs1 </w:t>
      </w:r>
      <w:proofErr w:type="gramStart"/>
      <w:r w:rsidRPr="007F4A24">
        <w:rPr>
          <w:iCs/>
          <w:lang w:val="en-NZ"/>
        </w:rPr>
        <w:t>On</w:t>
      </w:r>
      <w:proofErr w:type="gramEnd"/>
      <w:r w:rsidRPr="007F4A24">
        <w:rPr>
          <w:iCs/>
          <w:lang w:val="en-NZ"/>
        </w:rPr>
        <w:t xml:space="preserve"> Pack Label Database (August 2020)</w:t>
      </w:r>
    </w:p>
  </w:footnote>
  <w:footnote w:id="149">
    <w:p w14:paraId="6881AE0A" w14:textId="3109357D" w:rsidR="000F1209" w:rsidRPr="00E77B0F" w:rsidRDefault="000F1209" w:rsidP="00FB723D">
      <w:pPr>
        <w:shd w:val="clear" w:color="auto" w:fill="FFFFFF"/>
        <w:spacing w:after="0"/>
        <w:rPr>
          <w:sz w:val="20"/>
          <w:szCs w:val="20"/>
        </w:rPr>
      </w:pPr>
      <w:r>
        <w:rPr>
          <w:rStyle w:val="FootnoteReference"/>
        </w:rPr>
        <w:footnoteRef/>
      </w:r>
      <w:r>
        <w:t xml:space="preserve"> </w:t>
      </w:r>
      <w:bookmarkStart w:id="74" w:name="_Hlk47524958"/>
      <w:proofErr w:type="spellStart"/>
      <w:r w:rsidRPr="00E77B0F">
        <w:rPr>
          <w:sz w:val="20"/>
          <w:szCs w:val="20"/>
        </w:rPr>
        <w:t>Eyles</w:t>
      </w:r>
      <w:proofErr w:type="spellEnd"/>
      <w:r>
        <w:rPr>
          <w:sz w:val="20"/>
          <w:szCs w:val="20"/>
        </w:rPr>
        <w:t>,</w:t>
      </w:r>
      <w:r w:rsidRPr="00E77B0F">
        <w:rPr>
          <w:sz w:val="20"/>
          <w:szCs w:val="20"/>
        </w:rPr>
        <w:t xml:space="preserve"> H</w:t>
      </w:r>
      <w:r>
        <w:rPr>
          <w:sz w:val="20"/>
          <w:szCs w:val="20"/>
        </w:rPr>
        <w:t>.</w:t>
      </w:r>
      <w:r w:rsidRPr="00E77B0F">
        <w:rPr>
          <w:sz w:val="20"/>
          <w:szCs w:val="20"/>
        </w:rPr>
        <w:t xml:space="preserve"> </w:t>
      </w:r>
      <w:r w:rsidRPr="00FB723D">
        <w:rPr>
          <w:i/>
          <w:sz w:val="20"/>
          <w:szCs w:val="20"/>
        </w:rPr>
        <w:t xml:space="preserve">et al </w:t>
      </w:r>
      <w:r w:rsidRPr="00E77B0F">
        <w:rPr>
          <w:sz w:val="20"/>
          <w:szCs w:val="20"/>
        </w:rPr>
        <w:t>(2020)</w:t>
      </w:r>
      <w:r>
        <w:rPr>
          <w:sz w:val="20"/>
          <w:szCs w:val="20"/>
        </w:rPr>
        <w:t xml:space="preserve"> ‘</w:t>
      </w:r>
      <w:r w:rsidRPr="00E77B0F">
        <w:rPr>
          <w:sz w:val="20"/>
          <w:szCs w:val="20"/>
        </w:rPr>
        <w:t>Reducing children’s sugar intake through food reformulation: methods for estimating sugar reduction program targets using New Zealand as a case study</w:t>
      </w:r>
      <w:r>
        <w:rPr>
          <w:sz w:val="20"/>
          <w:szCs w:val="20"/>
        </w:rPr>
        <w:t>’</w:t>
      </w:r>
      <w:r w:rsidRPr="00E77B0F">
        <w:rPr>
          <w:sz w:val="20"/>
          <w:szCs w:val="20"/>
        </w:rPr>
        <w:t xml:space="preserve">. </w:t>
      </w:r>
      <w:r w:rsidRPr="00641F42">
        <w:rPr>
          <w:i/>
          <w:sz w:val="20"/>
          <w:szCs w:val="20"/>
        </w:rPr>
        <w:t xml:space="preserve">Am J Clin </w:t>
      </w:r>
      <w:proofErr w:type="spellStart"/>
      <w:r w:rsidRPr="00641F42">
        <w:rPr>
          <w:i/>
          <w:sz w:val="20"/>
          <w:szCs w:val="20"/>
        </w:rPr>
        <w:t>Nutr</w:t>
      </w:r>
      <w:proofErr w:type="spellEnd"/>
      <w:r>
        <w:rPr>
          <w:i/>
          <w:sz w:val="20"/>
          <w:szCs w:val="20"/>
        </w:rPr>
        <w:t xml:space="preserve">, </w:t>
      </w:r>
      <w:r w:rsidRPr="00007713">
        <w:rPr>
          <w:sz w:val="20"/>
          <w:szCs w:val="20"/>
        </w:rPr>
        <w:t>11</w:t>
      </w:r>
      <w:r>
        <w:rPr>
          <w:sz w:val="20"/>
          <w:szCs w:val="20"/>
        </w:rPr>
        <w:t>,</w:t>
      </w:r>
      <w:r w:rsidRPr="00007713">
        <w:rPr>
          <w:sz w:val="20"/>
          <w:szCs w:val="20"/>
        </w:rPr>
        <w:t>3</w:t>
      </w:r>
      <w:r>
        <w:rPr>
          <w:sz w:val="20"/>
          <w:szCs w:val="20"/>
        </w:rPr>
        <w:t>. Pp.</w:t>
      </w:r>
      <w:r w:rsidRPr="00E77B0F">
        <w:rPr>
          <w:sz w:val="20"/>
          <w:szCs w:val="20"/>
        </w:rPr>
        <w:t>622-634. </w:t>
      </w:r>
      <w:proofErr w:type="spellStart"/>
      <w:r w:rsidRPr="00E77B0F">
        <w:rPr>
          <w:sz w:val="20"/>
          <w:szCs w:val="20"/>
        </w:rPr>
        <w:t>doi</w:t>
      </w:r>
      <w:proofErr w:type="spellEnd"/>
      <w:r w:rsidRPr="00E77B0F">
        <w:rPr>
          <w:sz w:val="20"/>
          <w:szCs w:val="20"/>
        </w:rPr>
        <w:t>: 10.1093/</w:t>
      </w:r>
      <w:proofErr w:type="spellStart"/>
      <w:r w:rsidRPr="00E77B0F">
        <w:rPr>
          <w:sz w:val="20"/>
          <w:szCs w:val="20"/>
        </w:rPr>
        <w:t>ajcn</w:t>
      </w:r>
      <w:proofErr w:type="spellEnd"/>
      <w:r w:rsidRPr="00E77B0F">
        <w:rPr>
          <w:sz w:val="20"/>
          <w:szCs w:val="20"/>
        </w:rPr>
        <w:t>/nqz313.</w:t>
      </w:r>
      <w:bookmarkEnd w:id="74"/>
    </w:p>
  </w:footnote>
  <w:footnote w:id="150">
    <w:p w14:paraId="64F61DE9" w14:textId="560C36B2" w:rsidR="000F1209" w:rsidRDefault="000F1209" w:rsidP="00FB723D">
      <w:pPr>
        <w:pStyle w:val="FootnoteText"/>
      </w:pPr>
      <w:r>
        <w:rPr>
          <w:rStyle w:val="FootnoteReference"/>
        </w:rPr>
        <w:footnoteRef/>
      </w:r>
      <w:r>
        <w:t xml:space="preserve"> </w:t>
      </w:r>
      <w:r w:rsidRPr="00183B67">
        <w:t xml:space="preserve">Australian Beverages Council (2018) </w:t>
      </w:r>
      <w:r w:rsidRPr="00183B67">
        <w:rPr>
          <w:i/>
        </w:rPr>
        <w:t xml:space="preserve">Sugar reduction pledge. </w:t>
      </w:r>
      <w:r w:rsidRPr="00183B67">
        <w:t xml:space="preserve">Available at: </w:t>
      </w:r>
      <w:hyperlink r:id="rId79" w:history="1">
        <w:r w:rsidRPr="00183B67">
          <w:rPr>
            <w:rStyle w:val="Hyperlink"/>
          </w:rPr>
          <w:t>https://www.australianbeverages.org/initiatives-advocacy-information/sugar-reduction-pledge/</w:t>
        </w:r>
      </w:hyperlink>
    </w:p>
  </w:footnote>
  <w:footnote w:id="151">
    <w:p w14:paraId="50E650C8" w14:textId="5BAAE643" w:rsidR="000F1209" w:rsidRDefault="000F1209" w:rsidP="006919DA">
      <w:pPr>
        <w:pStyle w:val="FootnoteText"/>
      </w:pPr>
      <w:r>
        <w:rPr>
          <w:rStyle w:val="FootnoteReference"/>
        </w:rPr>
        <w:footnoteRef/>
      </w:r>
      <w:r>
        <w:t xml:space="preserve"> </w:t>
      </w:r>
      <w:r w:rsidRPr="00C11C8A">
        <w:t>Australian Bure</w:t>
      </w:r>
      <w:r>
        <w:t xml:space="preserve">au of Statistics (ABS) (2015) </w:t>
      </w:r>
      <w:r w:rsidRPr="00C11C8A">
        <w:rPr>
          <w:i/>
        </w:rPr>
        <w:t>Less Australia</w:t>
      </w:r>
      <w:r>
        <w:rPr>
          <w:i/>
        </w:rPr>
        <w:t>ns drinking sweetened drinks</w:t>
      </w:r>
      <w:r>
        <w:t xml:space="preserve">. Available at: </w:t>
      </w:r>
      <w:r w:rsidRPr="00C11C8A">
        <w:t>https://www.abs.gov.au/ausstats/abs@.nsf/Lookup/by%20Subject/4364.0.55.007~2011-12~Media%20Release~Less%20Australians%20drinking%20sweetened%20drinks%20(Media%20Release)~10001</w:t>
      </w:r>
    </w:p>
  </w:footnote>
  <w:footnote w:id="152">
    <w:p w14:paraId="2EB5DA08" w14:textId="2D80780B" w:rsidR="000F1209" w:rsidRPr="00C11C8A" w:rsidRDefault="000F1209" w:rsidP="006919DA">
      <w:pPr>
        <w:pStyle w:val="FootnoteText"/>
      </w:pPr>
      <w:r>
        <w:rPr>
          <w:rStyle w:val="FootnoteReference"/>
        </w:rPr>
        <w:footnoteRef/>
      </w:r>
      <w:r>
        <w:t xml:space="preserve"> </w:t>
      </w:r>
      <w:r w:rsidRPr="00C11C8A">
        <w:t>Australian Bureau of Statistics (ABS) (2018)</w:t>
      </w:r>
      <w:r>
        <w:t xml:space="preserve"> </w:t>
      </w:r>
      <w:r w:rsidRPr="00C11C8A">
        <w:rPr>
          <w:i/>
        </w:rPr>
        <w:t>National Health</w:t>
      </w:r>
      <w:r>
        <w:rPr>
          <w:i/>
        </w:rPr>
        <w:t xml:space="preserve"> Survey: First Results, 2017-18 </w:t>
      </w:r>
      <w:r>
        <w:t xml:space="preserve">Available at: </w:t>
      </w:r>
      <w:hyperlink r:id="rId80" w:history="1">
        <w:r w:rsidRPr="009801CC">
          <w:rPr>
            <w:rStyle w:val="Hyperlink"/>
          </w:rPr>
          <w:t>https://www.abs.gov.au/ausstats/abs@.nsf/Lookup/by%20Subject/4364.0.55.001~2017-18~Main%20Features~Sugar%20sweetened%20and%20diet%20drink%20consumption~110</w:t>
        </w:r>
      </w:hyperlink>
      <w:r>
        <w:t xml:space="preserve"> </w:t>
      </w:r>
    </w:p>
  </w:footnote>
  <w:footnote w:id="153">
    <w:p w14:paraId="0E9C2FB8" w14:textId="77777777" w:rsidR="000F1209" w:rsidRPr="004B01AF" w:rsidRDefault="000F1209" w:rsidP="00D91B42">
      <w:pPr>
        <w:pStyle w:val="FootnoteText"/>
        <w:rPr>
          <w:lang w:val="en-NZ"/>
        </w:rPr>
      </w:pPr>
      <w:r>
        <w:rPr>
          <w:rStyle w:val="FootnoteReference"/>
        </w:rPr>
        <w:footnoteRef/>
      </w:r>
      <w:r>
        <w:t xml:space="preserve"> </w:t>
      </w:r>
      <w:proofErr w:type="spellStart"/>
      <w:r>
        <w:rPr>
          <w:lang w:val="en-NZ"/>
        </w:rPr>
        <w:t>MPconsulting</w:t>
      </w:r>
      <w:proofErr w:type="spellEnd"/>
      <w:r>
        <w:rPr>
          <w:lang w:val="en-NZ"/>
        </w:rPr>
        <w:t xml:space="preserve"> (2019) </w:t>
      </w:r>
      <w:r w:rsidRPr="00FB723D">
        <w:rPr>
          <w:i/>
          <w:lang w:val="en-NZ"/>
        </w:rPr>
        <w:t>Health Star Rating System Five Year Review Report</w:t>
      </w:r>
      <w:r>
        <w:rPr>
          <w:lang w:val="en-NZ"/>
        </w:rPr>
        <w:t xml:space="preserve">. Available at: </w:t>
      </w:r>
      <w:hyperlink r:id="rId81" w:history="1">
        <w:r>
          <w:rPr>
            <w:rStyle w:val="Hyperlink"/>
          </w:rPr>
          <w:t>http://www.healthstarrating.gov.au/internet/healthstarrating/publishing.nsf/Content/D1562AA78A574853CA2581BD00828751/$File/Health-Star-Rating-System-Five-Year-Review-Report.pdf</w:t>
        </w:r>
      </w:hyperlink>
      <w:r>
        <w:t xml:space="preserve"> </w:t>
      </w:r>
    </w:p>
  </w:footnote>
  <w:footnote w:id="154">
    <w:p w14:paraId="4F8949D9" w14:textId="7475B447" w:rsidR="000F1209" w:rsidRDefault="000F1209">
      <w:pPr>
        <w:pStyle w:val="FootnoteText"/>
      </w:pPr>
      <w:r>
        <w:rPr>
          <w:rStyle w:val="FootnoteReference"/>
        </w:rPr>
        <w:footnoteRef/>
      </w:r>
      <w:r>
        <w:t xml:space="preserve"> Bernstein, J. T. </w:t>
      </w:r>
      <w:r>
        <w:rPr>
          <w:i/>
          <w:iCs/>
        </w:rPr>
        <w:t>et al.</w:t>
      </w:r>
      <w:r>
        <w:t xml:space="preserve"> (2020) ‘Reformulation of sugar contents in Canadian </w:t>
      </w:r>
      <w:proofErr w:type="spellStart"/>
      <w:r>
        <w:t>prepackaged</w:t>
      </w:r>
      <w:proofErr w:type="spellEnd"/>
      <w:r>
        <w:t xml:space="preserve"> foods and beverages between 2013 and 2017 and resultant changes in nutritional composition of products with sugar reductions’, </w:t>
      </w:r>
      <w:r>
        <w:rPr>
          <w:i/>
          <w:iCs/>
        </w:rPr>
        <w:t>Public Health Nutrition</w:t>
      </w:r>
      <w:r>
        <w:t xml:space="preserve">, 1968. </w:t>
      </w:r>
      <w:proofErr w:type="spellStart"/>
      <w:r>
        <w:t>doi</w:t>
      </w:r>
      <w:proofErr w:type="spellEnd"/>
      <w:r>
        <w:t>: 10.1017/S1368980020001159.</w:t>
      </w:r>
    </w:p>
  </w:footnote>
  <w:footnote w:id="155">
    <w:p w14:paraId="19802672" w14:textId="32658D5A" w:rsidR="000F1209" w:rsidRPr="00D4126A" w:rsidRDefault="000F1209" w:rsidP="00371710">
      <w:pPr>
        <w:pStyle w:val="FootnoteText"/>
      </w:pPr>
      <w:r w:rsidRPr="00D4126A">
        <w:rPr>
          <w:rStyle w:val="FootnoteReference"/>
        </w:rPr>
        <w:footnoteRef/>
      </w:r>
      <w:r w:rsidRPr="00D4126A">
        <w:t xml:space="preserve"> World Health Organization (WHO) (2017) </w:t>
      </w:r>
      <w:r w:rsidRPr="00D4126A">
        <w:rPr>
          <w:i/>
        </w:rPr>
        <w:t>Tackling NCDs, Be</w:t>
      </w:r>
      <w:r>
        <w:rPr>
          <w:i/>
        </w:rPr>
        <w:t>st buys</w:t>
      </w:r>
      <w:r>
        <w:t xml:space="preserve">. Available at: </w:t>
      </w:r>
      <w:hyperlink r:id="rId82" w:history="1">
        <w:r w:rsidRPr="009801CC">
          <w:rPr>
            <w:rStyle w:val="Hyperlink"/>
          </w:rPr>
          <w:t>https://apps.who.int/iris/bitstream/handle/10665/259232/WHO-NMH-NVI-17.9-eng.pdf;jsessionid=7BD836E477124A3F951AAA316956F5F1?sequence=1</w:t>
        </w:r>
      </w:hyperlink>
      <w:r>
        <w:t xml:space="preserve"> </w:t>
      </w:r>
    </w:p>
  </w:footnote>
  <w:footnote w:id="156">
    <w:p w14:paraId="644FB010" w14:textId="6E621A4D" w:rsidR="000F1209" w:rsidRPr="00D4126A" w:rsidRDefault="000F1209" w:rsidP="00371710">
      <w:pPr>
        <w:pStyle w:val="FootnoteText"/>
      </w:pPr>
      <w:r w:rsidRPr="00D4126A">
        <w:rPr>
          <w:rStyle w:val="FootnoteReference"/>
        </w:rPr>
        <w:footnoteRef/>
      </w:r>
      <w:r w:rsidRPr="00D4126A">
        <w:t xml:space="preserve"> World H</w:t>
      </w:r>
      <w:r>
        <w:t xml:space="preserve">ealth Organization (WHO) (2013) </w:t>
      </w:r>
      <w:r w:rsidRPr="00D4126A">
        <w:rPr>
          <w:i/>
        </w:rPr>
        <w:t xml:space="preserve">Global Action Plan for the Prevention and Control of Non-Communicable Diseases 2013-2020. </w:t>
      </w:r>
      <w:r>
        <w:t xml:space="preserve">Available at: </w:t>
      </w:r>
      <w:hyperlink r:id="rId83" w:history="1">
        <w:r w:rsidRPr="009801CC">
          <w:rPr>
            <w:rStyle w:val="Hyperlink"/>
          </w:rPr>
          <w:t>https://apps.who.int/iris/bitstream/handle/10665/94384/9789241506236_eng.pdf;jsessionid=E2419EF9D3852759369AFEADDB3F56D7?sequence=1</w:t>
        </w:r>
      </w:hyperlink>
      <w:r>
        <w:t xml:space="preserve"> </w:t>
      </w:r>
    </w:p>
  </w:footnote>
  <w:footnote w:id="157">
    <w:p w14:paraId="5CA92821" w14:textId="54B307D2" w:rsidR="000F1209" w:rsidRPr="00D4126A" w:rsidRDefault="000F1209">
      <w:pPr>
        <w:pStyle w:val="FootnoteText"/>
      </w:pPr>
      <w:r w:rsidRPr="00D4126A">
        <w:rPr>
          <w:rStyle w:val="FootnoteReference"/>
        </w:rPr>
        <w:footnoteRef/>
      </w:r>
      <w:r w:rsidRPr="00D4126A">
        <w:t xml:space="preserve"> GBD Diet Collaborators (2019) ‘Health effects of dietary risks in 195 countries, 1990–2017: a systematic analysis for the Global Burden of Disease Study 2017’, </w:t>
      </w:r>
      <w:r w:rsidRPr="00D4126A">
        <w:rPr>
          <w:i/>
          <w:iCs/>
        </w:rPr>
        <w:t>The Lancet</w:t>
      </w:r>
      <w:r w:rsidRPr="00D4126A">
        <w:t xml:space="preserve">, 393(10184), pp. 1958–1972. </w:t>
      </w:r>
      <w:proofErr w:type="spellStart"/>
      <w:r w:rsidRPr="00D4126A">
        <w:t>doi</w:t>
      </w:r>
      <w:proofErr w:type="spellEnd"/>
      <w:r w:rsidRPr="00D4126A">
        <w:t>: 10.1016/S0140-6736(19)30041-8.</w:t>
      </w:r>
    </w:p>
  </w:footnote>
  <w:footnote w:id="158">
    <w:p w14:paraId="05FFE2C9" w14:textId="7C0AEB0B" w:rsidR="000F1209" w:rsidRPr="00D4126A" w:rsidRDefault="000F1209" w:rsidP="001A7E53">
      <w:pPr>
        <w:pStyle w:val="FootnoteText"/>
      </w:pPr>
      <w:r w:rsidRPr="00D4126A">
        <w:rPr>
          <w:rStyle w:val="FootnoteReference"/>
        </w:rPr>
        <w:footnoteRef/>
      </w:r>
      <w:r w:rsidRPr="00D4126A">
        <w:t xml:space="preserve"> </w:t>
      </w:r>
      <w:r w:rsidRPr="00C86106">
        <w:t xml:space="preserve">Institute of Health Metrics and Evaluation (IHME) (2020), </w:t>
      </w:r>
      <w:r w:rsidRPr="00C86106">
        <w:rPr>
          <w:i/>
          <w:iCs/>
        </w:rPr>
        <w:t>Global Burden of Disease 2017</w:t>
      </w:r>
      <w:r w:rsidRPr="00C86106">
        <w:t>. Available at</w:t>
      </w:r>
      <w:r w:rsidRPr="00D4126A">
        <w:t xml:space="preserve"> </w:t>
      </w:r>
      <w:hyperlink r:id="rId84" w:history="1">
        <w:r w:rsidRPr="00D4126A">
          <w:rPr>
            <w:rStyle w:val="Hyperlink"/>
          </w:rPr>
          <w:t>https://vizhub.healthdata.org/gbd-compare/</w:t>
        </w:r>
      </w:hyperlink>
    </w:p>
  </w:footnote>
  <w:footnote w:id="159">
    <w:p w14:paraId="117A226D" w14:textId="1D0A6992" w:rsidR="000F1209" w:rsidRPr="00824804" w:rsidRDefault="000F1209" w:rsidP="002C50DE">
      <w:pPr>
        <w:pStyle w:val="FootnoteText"/>
        <w:rPr>
          <w:i/>
        </w:rPr>
      </w:pPr>
      <w:r w:rsidRPr="00D4126A">
        <w:rPr>
          <w:rStyle w:val="FootnoteReference"/>
        </w:rPr>
        <w:footnoteRef/>
      </w:r>
      <w:r w:rsidRPr="00D4126A">
        <w:t xml:space="preserve"> Australian Bureau of Statistics</w:t>
      </w:r>
      <w:r>
        <w:t xml:space="preserve"> (ABS) (2014) </w:t>
      </w:r>
      <w:r w:rsidRPr="00D4126A">
        <w:rPr>
          <w:i/>
        </w:rPr>
        <w:t>4364.0.55.007</w:t>
      </w:r>
      <w:r>
        <w:rPr>
          <w:i/>
        </w:rPr>
        <w:t>-</w:t>
      </w:r>
      <w:r w:rsidRPr="00D4126A">
        <w:rPr>
          <w:i/>
        </w:rPr>
        <w:t xml:space="preserve"> Australian Health Survey: Nutrition First Result</w:t>
      </w:r>
      <w:r>
        <w:rPr>
          <w:i/>
        </w:rPr>
        <w:t>s- Foods and Nutrients, 2011-12</w:t>
      </w:r>
      <w:r w:rsidRPr="00D4126A">
        <w:rPr>
          <w:i/>
        </w:rPr>
        <w:t xml:space="preserve"> </w:t>
      </w:r>
      <w:r w:rsidRPr="00D4126A">
        <w:t>(Table 1.1)</w:t>
      </w:r>
      <w:r>
        <w:t xml:space="preserve">. Available at: </w:t>
      </w:r>
      <w:hyperlink r:id="rId85" w:history="1">
        <w:r w:rsidRPr="009801CC">
          <w:rPr>
            <w:rStyle w:val="Hyperlink"/>
          </w:rPr>
          <w:t>https://www.abs.gov.au/AUSSTATS/abs@.nsf/DetailsPage/4364.0.55.0072011-12?OpenDocument</w:t>
        </w:r>
      </w:hyperlink>
      <w:r>
        <w:t xml:space="preserve"> </w:t>
      </w:r>
    </w:p>
  </w:footnote>
  <w:footnote w:id="160">
    <w:p w14:paraId="158767F2" w14:textId="5EFFA48B" w:rsidR="000F1209" w:rsidRDefault="000F1209" w:rsidP="002C50DE">
      <w:pPr>
        <w:pStyle w:val="FootnoteText"/>
      </w:pPr>
      <w:r>
        <w:rPr>
          <w:rStyle w:val="FootnoteReference"/>
        </w:rPr>
        <w:footnoteRef/>
      </w:r>
      <w:r>
        <w:t xml:space="preserve"> </w:t>
      </w:r>
      <w:r w:rsidRPr="00D4126A">
        <w:t>Australian Bureau o</w:t>
      </w:r>
      <w:r>
        <w:t xml:space="preserve">f Statistics (ABS) (2014) </w:t>
      </w:r>
      <w:r w:rsidRPr="00D4126A">
        <w:rPr>
          <w:i/>
          <w:lang w:val="en"/>
        </w:rPr>
        <w:t>4364.0.55.007</w:t>
      </w:r>
      <w:r>
        <w:rPr>
          <w:i/>
        </w:rPr>
        <w:t xml:space="preserve">- </w:t>
      </w:r>
      <w:r w:rsidRPr="00D4126A">
        <w:rPr>
          <w:i/>
        </w:rPr>
        <w:t>Australian Health Survey: Nutrition First Result</w:t>
      </w:r>
      <w:r>
        <w:rPr>
          <w:i/>
        </w:rPr>
        <w:t xml:space="preserve">s- Foods and Nutrients, 2011-12. </w:t>
      </w:r>
      <w:r w:rsidRPr="00D4126A">
        <w:t xml:space="preserve">Available at: </w:t>
      </w:r>
      <w:hyperlink r:id="rId86" w:history="1">
        <w:r w:rsidRPr="00D4126A">
          <w:rPr>
            <w:rStyle w:val="Hyperlink"/>
          </w:rPr>
          <w:t>https://www.abs.gov.au/ausstats/abs@.nsf/Lookup/by%20Subject/4364.0.55.007~2011-12~Main%20Features~Sodium~715</w:t>
        </w:r>
      </w:hyperlink>
      <w:r>
        <w:rPr>
          <w:i/>
        </w:rPr>
        <w:t xml:space="preserve"> </w:t>
      </w:r>
    </w:p>
  </w:footnote>
  <w:footnote w:id="161">
    <w:p w14:paraId="06AB792C" w14:textId="30E12A57" w:rsidR="000F1209" w:rsidRDefault="000F1209" w:rsidP="002C50DE">
      <w:pPr>
        <w:pStyle w:val="FootnoteText"/>
      </w:pPr>
      <w:r>
        <w:rPr>
          <w:rStyle w:val="FootnoteReference"/>
        </w:rPr>
        <w:footnoteRef/>
      </w:r>
      <w:r>
        <w:t xml:space="preserve"> </w:t>
      </w:r>
      <w:r w:rsidRPr="00D4126A">
        <w:t>Australian Bureau of Statistics (ABS) (201</w:t>
      </w:r>
      <w:r>
        <w:t xml:space="preserve">4) </w:t>
      </w:r>
      <w:r w:rsidRPr="00D4126A">
        <w:rPr>
          <w:i/>
          <w:lang w:val="en"/>
        </w:rPr>
        <w:t>4364.0.55.007</w:t>
      </w:r>
      <w:r>
        <w:rPr>
          <w:i/>
          <w:lang w:val="en"/>
        </w:rPr>
        <w:t>-</w:t>
      </w:r>
      <w:r w:rsidRPr="00D4126A">
        <w:rPr>
          <w:i/>
        </w:rPr>
        <w:t xml:space="preserve"> Australian Health Survey: Nutrition First Result</w:t>
      </w:r>
      <w:r>
        <w:rPr>
          <w:i/>
        </w:rPr>
        <w:t>s- Foods and Nutrients, 2011-12</w:t>
      </w:r>
      <w:r w:rsidRPr="00D4126A">
        <w:rPr>
          <w:i/>
        </w:rPr>
        <w:t xml:space="preserve"> </w:t>
      </w:r>
      <w:r w:rsidRPr="00D4126A">
        <w:t>(Table 10.67)</w:t>
      </w:r>
      <w:r>
        <w:t xml:space="preserve">. Available at: </w:t>
      </w:r>
      <w:hyperlink r:id="rId87" w:history="1">
        <w:r w:rsidRPr="009801CC">
          <w:rPr>
            <w:rStyle w:val="Hyperlink"/>
          </w:rPr>
          <w:t>https://www.abs.gov.au/AUSSTATS/abs@.nsf/DetailsPage/4364.0.55.0072011-12?OpenDocument</w:t>
        </w:r>
      </w:hyperlink>
      <w:r>
        <w:t xml:space="preserve"> </w:t>
      </w:r>
    </w:p>
  </w:footnote>
  <w:footnote w:id="162">
    <w:p w14:paraId="7B5440AE" w14:textId="0244B12D" w:rsidR="000F1209" w:rsidRPr="009875EB" w:rsidRDefault="000F1209" w:rsidP="002C50DE">
      <w:pPr>
        <w:pStyle w:val="FootnoteText"/>
        <w:rPr>
          <w:lang w:val="en-NZ"/>
        </w:rPr>
      </w:pPr>
      <w:r>
        <w:rPr>
          <w:rStyle w:val="FootnoteReference"/>
        </w:rPr>
        <w:footnoteRef/>
      </w:r>
      <w:r>
        <w:t xml:space="preserve"> McLean, R. M. </w:t>
      </w:r>
      <w:r>
        <w:rPr>
          <w:i/>
          <w:iCs/>
        </w:rPr>
        <w:t>et al.</w:t>
      </w:r>
      <w:r>
        <w:t xml:space="preserve"> (2018) ‘Spot urine and 24-h diet recall estimates of dietary sodium intake from the 2008/09 New Zealand Adult Nutrition Survey: a comparison’, </w:t>
      </w:r>
      <w:r>
        <w:rPr>
          <w:i/>
          <w:iCs/>
        </w:rPr>
        <w:t>European Journal of Clinical Nutrition</w:t>
      </w:r>
      <w:r>
        <w:t xml:space="preserve">, 72(8), pp. 1120–1127. </w:t>
      </w:r>
      <w:proofErr w:type="spellStart"/>
      <w:r>
        <w:t>doi</w:t>
      </w:r>
      <w:proofErr w:type="spellEnd"/>
      <w:r>
        <w:t>: 10.1038/s41430-018-0176-0.</w:t>
      </w:r>
    </w:p>
  </w:footnote>
  <w:footnote w:id="163">
    <w:p w14:paraId="6A426026" w14:textId="5172563B" w:rsidR="000F1209" w:rsidRPr="00034555" w:rsidRDefault="000F1209" w:rsidP="002C50DE">
      <w:pPr>
        <w:pStyle w:val="FootnoteText"/>
        <w:rPr>
          <w:lang w:val="en-NZ"/>
        </w:rPr>
      </w:pPr>
      <w:r>
        <w:rPr>
          <w:rStyle w:val="FootnoteReference"/>
        </w:rPr>
        <w:footnoteRef/>
      </w:r>
      <w:r>
        <w:t xml:space="preserve"> Russell, D.</w:t>
      </w:r>
      <w:r w:rsidRPr="00034555">
        <w:t xml:space="preserve"> </w:t>
      </w:r>
      <w:r w:rsidRPr="00034555">
        <w:rPr>
          <w:i/>
        </w:rPr>
        <w:t xml:space="preserve">et al </w:t>
      </w:r>
      <w:r w:rsidRPr="00034555">
        <w:t>(1999)</w:t>
      </w:r>
      <w:r w:rsidRPr="00034555">
        <w:rPr>
          <w:i/>
        </w:rPr>
        <w:t xml:space="preserve"> NZ Food: NZ </w:t>
      </w:r>
      <w:proofErr w:type="gramStart"/>
      <w:r w:rsidRPr="00034555">
        <w:rPr>
          <w:i/>
        </w:rPr>
        <w:t>People .Key</w:t>
      </w:r>
      <w:proofErr w:type="gramEnd"/>
      <w:r w:rsidRPr="00034555">
        <w:rPr>
          <w:i/>
        </w:rPr>
        <w:t xml:space="preserve"> results of the 1997 National Nutrition Survey. </w:t>
      </w:r>
      <w:r w:rsidRPr="00034555">
        <w:t>Wellington: Ministry of Health</w:t>
      </w:r>
      <w:r w:rsidRPr="00034555">
        <w:rPr>
          <w:i/>
        </w:rPr>
        <w:t>.</w:t>
      </w:r>
      <w:r w:rsidRPr="001F67EA">
        <w:rPr>
          <w:i/>
          <w:lang w:val="en-NZ"/>
        </w:rPr>
        <w:t xml:space="preserve"> </w:t>
      </w:r>
      <w:r>
        <w:rPr>
          <w:lang w:val="en-NZ"/>
        </w:rPr>
        <w:t xml:space="preserve">Available at </w:t>
      </w:r>
      <w:hyperlink r:id="rId88" w:history="1">
        <w:r w:rsidRPr="009801CC">
          <w:rPr>
            <w:rStyle w:val="Hyperlink"/>
            <w:lang w:val="en-NZ"/>
          </w:rPr>
          <w:t>https://researchspace.auckland.ac.nz/handle/2292/34830</w:t>
        </w:r>
      </w:hyperlink>
      <w:r>
        <w:rPr>
          <w:lang w:val="en-NZ"/>
        </w:rPr>
        <w:t xml:space="preserve"> </w:t>
      </w:r>
    </w:p>
  </w:footnote>
  <w:footnote w:id="164">
    <w:p w14:paraId="0F6F8546" w14:textId="382637D8" w:rsidR="000F1209" w:rsidRPr="009875EB" w:rsidRDefault="000F1209" w:rsidP="004B3253">
      <w:pPr>
        <w:pStyle w:val="FootnoteText"/>
        <w:rPr>
          <w:lang w:val="en-NZ"/>
        </w:rPr>
      </w:pPr>
      <w:r>
        <w:rPr>
          <w:rStyle w:val="FootnoteReference"/>
        </w:rPr>
        <w:footnoteRef/>
      </w:r>
      <w:r>
        <w:t xml:space="preserve"> </w:t>
      </w:r>
      <w:proofErr w:type="spellStart"/>
      <w:r>
        <w:t>Monro</w:t>
      </w:r>
      <w:proofErr w:type="spellEnd"/>
      <w:r>
        <w:t xml:space="preserve">, D. </w:t>
      </w:r>
      <w:r>
        <w:rPr>
          <w:i/>
          <w:iCs/>
        </w:rPr>
        <w:t>et al.</w:t>
      </w:r>
      <w:r>
        <w:t xml:space="preserve"> (2015) ‘Changes in the sodium content of New Zealand processed foods: 2003–2013’, </w:t>
      </w:r>
      <w:r>
        <w:rPr>
          <w:i/>
          <w:iCs/>
        </w:rPr>
        <w:t>Nutrients</w:t>
      </w:r>
      <w:r>
        <w:t xml:space="preserve">, 7(6), pp. 4054–4067. </w:t>
      </w:r>
      <w:proofErr w:type="spellStart"/>
      <w:r>
        <w:t>doi</w:t>
      </w:r>
      <w:proofErr w:type="spellEnd"/>
      <w:r>
        <w:t xml:space="preserve">: 10.3390/nu7064054. </w:t>
      </w:r>
    </w:p>
  </w:footnote>
  <w:footnote w:id="165">
    <w:p w14:paraId="78E2D12B" w14:textId="6E9D6BCC" w:rsidR="000F1209" w:rsidRPr="00C10EFA" w:rsidRDefault="000F1209">
      <w:pPr>
        <w:pStyle w:val="FootnoteText"/>
        <w:rPr>
          <w:lang w:val="en-NZ"/>
        </w:rPr>
      </w:pPr>
      <w:r>
        <w:rPr>
          <w:rStyle w:val="FootnoteReference"/>
        </w:rPr>
        <w:footnoteRef/>
      </w:r>
      <w:r>
        <w:t xml:space="preserve"> </w:t>
      </w:r>
      <w:proofErr w:type="spellStart"/>
      <w:r>
        <w:rPr>
          <w:lang w:val="en-NZ"/>
        </w:rPr>
        <w:t>Eyles</w:t>
      </w:r>
      <w:proofErr w:type="spellEnd"/>
      <w:r>
        <w:rPr>
          <w:lang w:val="en-NZ"/>
        </w:rPr>
        <w:t xml:space="preserve">, H. </w:t>
      </w:r>
      <w:r w:rsidRPr="00E94079">
        <w:rPr>
          <w:i/>
          <w:lang w:val="en-NZ"/>
        </w:rPr>
        <w:t>et al</w:t>
      </w:r>
      <w:r>
        <w:rPr>
          <w:lang w:val="en-NZ"/>
        </w:rPr>
        <w:t xml:space="preserve"> (2016) ‘Achieving the WHO sodium target: estimation of reductions required in the sodium content of packaged foods and other sources of dietary sodium’. </w:t>
      </w:r>
      <w:r w:rsidRPr="00E94079">
        <w:rPr>
          <w:i/>
          <w:lang w:val="en-NZ"/>
        </w:rPr>
        <w:t xml:space="preserve">Am J Clin </w:t>
      </w:r>
      <w:proofErr w:type="spellStart"/>
      <w:r w:rsidRPr="00E94079">
        <w:rPr>
          <w:i/>
          <w:lang w:val="en-NZ"/>
        </w:rPr>
        <w:t>Nutr</w:t>
      </w:r>
      <w:proofErr w:type="spellEnd"/>
      <w:r>
        <w:rPr>
          <w:lang w:val="en-NZ"/>
        </w:rPr>
        <w:t>, 104:2;pp. 470-479</w:t>
      </w:r>
      <w:r w:rsidRPr="00C10EFA">
        <w:rPr>
          <w:lang w:val="en-NZ"/>
        </w:rPr>
        <w:t xml:space="preserve"> </w:t>
      </w:r>
      <w:hyperlink r:id="rId89" w:history="1">
        <w:r w:rsidRPr="00C10EFA">
          <w:rPr>
            <w:lang w:val="en-NZ"/>
          </w:rPr>
          <w:t>https://doi.org/10.3945/ajcn.115.125146</w:t>
        </w:r>
      </w:hyperlink>
      <w:r>
        <w:t xml:space="preserve"> </w:t>
      </w:r>
    </w:p>
  </w:footnote>
  <w:footnote w:id="166">
    <w:p w14:paraId="319D5E40" w14:textId="5E9A0747" w:rsidR="000F1209" w:rsidRPr="00C12ABE" w:rsidRDefault="000F1209" w:rsidP="00A447A9">
      <w:pPr>
        <w:pStyle w:val="FootnoteText"/>
        <w:rPr>
          <w:i/>
        </w:rPr>
      </w:pPr>
      <w:r>
        <w:rPr>
          <w:rStyle w:val="FootnoteReference"/>
        </w:rPr>
        <w:footnoteRef/>
      </w:r>
      <w:r>
        <w:t xml:space="preserve"> Webster, J. </w:t>
      </w:r>
      <w:r>
        <w:rPr>
          <w:i/>
          <w:iCs/>
        </w:rPr>
        <w:t>et al.</w:t>
      </w:r>
      <w:r>
        <w:t xml:space="preserve"> (2014) ‘Target salt 2025: A global overview of national programs to encourage the food industry to reduce salt in foods’, </w:t>
      </w:r>
      <w:r>
        <w:rPr>
          <w:i/>
          <w:iCs/>
        </w:rPr>
        <w:t>Nutrients</w:t>
      </w:r>
      <w:r>
        <w:t xml:space="preserve">, 6(8), pp. 3274–3287. </w:t>
      </w:r>
      <w:proofErr w:type="spellStart"/>
      <w:r>
        <w:t>doi</w:t>
      </w:r>
      <w:proofErr w:type="spellEnd"/>
      <w:r>
        <w:t>: 10.3390/nu6083274.</w:t>
      </w:r>
    </w:p>
  </w:footnote>
  <w:footnote w:id="167">
    <w:p w14:paraId="0CE0B44C" w14:textId="588A14D7" w:rsidR="000F1209" w:rsidRPr="00C175A9" w:rsidRDefault="000F1209" w:rsidP="00A447A9">
      <w:pPr>
        <w:pStyle w:val="FootnoteText"/>
      </w:pPr>
      <w:r>
        <w:rPr>
          <w:rStyle w:val="FootnoteReference"/>
        </w:rPr>
        <w:footnoteRef/>
      </w:r>
      <w:r>
        <w:t xml:space="preserve"> Trieu, K. </w:t>
      </w:r>
      <w:r>
        <w:rPr>
          <w:i/>
          <w:iCs/>
        </w:rPr>
        <w:t>et al.</w:t>
      </w:r>
      <w:r>
        <w:t xml:space="preserve"> (2015) ‘Salt reduction initiatives around the world-A systematic review of progress towards the global target’, </w:t>
      </w:r>
      <w:proofErr w:type="spellStart"/>
      <w:r>
        <w:rPr>
          <w:i/>
          <w:iCs/>
        </w:rPr>
        <w:t>PLoS</w:t>
      </w:r>
      <w:proofErr w:type="spellEnd"/>
      <w:r>
        <w:rPr>
          <w:i/>
          <w:iCs/>
        </w:rPr>
        <w:t xml:space="preserve"> ONE</w:t>
      </w:r>
      <w:r>
        <w:t xml:space="preserve">, 10(7), pp. 1–22. </w:t>
      </w:r>
      <w:proofErr w:type="spellStart"/>
      <w:r>
        <w:t>doi</w:t>
      </w:r>
      <w:proofErr w:type="spellEnd"/>
      <w:r>
        <w:t>: 10.1371/journal.pone.0130247.</w:t>
      </w:r>
    </w:p>
  </w:footnote>
  <w:footnote w:id="168">
    <w:p w14:paraId="23717DEF" w14:textId="77777777" w:rsidR="000F1209" w:rsidRPr="004938AD" w:rsidRDefault="000F1209" w:rsidP="00A447A9">
      <w:pPr>
        <w:pStyle w:val="FootnoteText"/>
      </w:pPr>
      <w:r>
        <w:rPr>
          <w:rStyle w:val="FootnoteReference"/>
        </w:rPr>
        <w:footnoteRef/>
      </w:r>
      <w:r>
        <w:t xml:space="preserve"> Charlton K, Webster J &amp; Kowal P (2014), ‘To Legislate or Not to Legislate? A comparison of the UK and South African Approached to the Development and Implementation of Salt Reduction Programs’, </w:t>
      </w:r>
      <w:r>
        <w:rPr>
          <w:i/>
        </w:rPr>
        <w:t xml:space="preserve">Nutrients, </w:t>
      </w:r>
      <w:r>
        <w:t xml:space="preserve">6(9); 3672-3695. </w:t>
      </w:r>
    </w:p>
  </w:footnote>
  <w:footnote w:id="169">
    <w:p w14:paraId="53F907C0" w14:textId="1DFEC2FC" w:rsidR="000F1209" w:rsidRDefault="000F1209" w:rsidP="00A447A9">
      <w:pPr>
        <w:pStyle w:val="FootnoteText"/>
      </w:pPr>
      <w:r>
        <w:rPr>
          <w:rStyle w:val="FootnoteReference"/>
        </w:rPr>
        <w:footnoteRef/>
      </w:r>
      <w:r>
        <w:t xml:space="preserve"> Charlton, K., Webster, J. and Kowal, P. (2014) ‘To legislate or not to legislate? A comparison of the UK and South African approaches to the development and implementation of salt reduction programs’, </w:t>
      </w:r>
      <w:r>
        <w:rPr>
          <w:i/>
          <w:iCs/>
        </w:rPr>
        <w:t>Nutrients</w:t>
      </w:r>
      <w:r>
        <w:t xml:space="preserve">, 6(9), pp. 3672–3695. </w:t>
      </w:r>
      <w:proofErr w:type="spellStart"/>
      <w:r>
        <w:t>doi</w:t>
      </w:r>
      <w:proofErr w:type="spellEnd"/>
      <w:r>
        <w:t>: 10.3390/nu6093672.</w:t>
      </w:r>
    </w:p>
  </w:footnote>
  <w:footnote w:id="170">
    <w:p w14:paraId="5753A368" w14:textId="29449C90" w:rsidR="000F1209" w:rsidRDefault="000F1209" w:rsidP="00DB2B04">
      <w:pPr>
        <w:pStyle w:val="FootnoteText"/>
      </w:pPr>
      <w:r>
        <w:rPr>
          <w:rStyle w:val="FootnoteReference"/>
        </w:rPr>
        <w:footnoteRef/>
      </w:r>
      <w:r>
        <w:t xml:space="preserve">The George Institute for Global Health (2019) </w:t>
      </w:r>
      <w:r>
        <w:rPr>
          <w:i/>
          <w:iCs/>
        </w:rPr>
        <w:t xml:space="preserve">Salt Levels in children’s meal from four major </w:t>
      </w:r>
      <w:proofErr w:type="gramStart"/>
      <w:r>
        <w:rPr>
          <w:i/>
          <w:iCs/>
        </w:rPr>
        <w:t>fast food</w:t>
      </w:r>
      <w:proofErr w:type="gramEnd"/>
      <w:r>
        <w:rPr>
          <w:i/>
          <w:iCs/>
        </w:rPr>
        <w:t xml:space="preserve"> retailers, 2019</w:t>
      </w:r>
      <w:r>
        <w:t xml:space="preserve">. Available at: </w:t>
      </w:r>
      <w:hyperlink r:id="rId90" w:history="1">
        <w:r w:rsidRPr="009801CC">
          <w:rPr>
            <w:rStyle w:val="Hyperlink"/>
          </w:rPr>
          <w:t>https://www.georgeinstitute.org/sites/default/files/salt_levels_in_childrens_meal_key_findings_report_with_tables.pdf</w:t>
        </w:r>
      </w:hyperlink>
      <w:r>
        <w:t xml:space="preserve">. </w:t>
      </w:r>
    </w:p>
  </w:footnote>
  <w:footnote w:id="171">
    <w:p w14:paraId="3BAC6CC1" w14:textId="4FA9E53E" w:rsidR="000F1209" w:rsidRPr="00E66445" w:rsidRDefault="000F1209" w:rsidP="002F08B5">
      <w:pPr>
        <w:spacing w:after="0"/>
        <w:rPr>
          <w:sz w:val="20"/>
          <w:szCs w:val="20"/>
        </w:rPr>
      </w:pPr>
      <w:r w:rsidRPr="00E66445">
        <w:rPr>
          <w:rStyle w:val="FootnoteReference"/>
          <w:sz w:val="20"/>
          <w:szCs w:val="20"/>
        </w:rPr>
        <w:footnoteRef/>
      </w:r>
      <w:r w:rsidRPr="00E66445">
        <w:rPr>
          <w:sz w:val="20"/>
          <w:szCs w:val="20"/>
        </w:rPr>
        <w:t xml:space="preserve"> </w:t>
      </w:r>
      <w:proofErr w:type="spellStart"/>
      <w:r w:rsidRPr="00E66445">
        <w:rPr>
          <w:sz w:val="20"/>
          <w:szCs w:val="20"/>
        </w:rPr>
        <w:t>Eyles</w:t>
      </w:r>
      <w:proofErr w:type="spellEnd"/>
      <w:r w:rsidRPr="00E66445">
        <w:rPr>
          <w:sz w:val="20"/>
          <w:szCs w:val="20"/>
        </w:rPr>
        <w:t xml:space="preserve">, H. </w:t>
      </w:r>
      <w:r w:rsidRPr="00E66445">
        <w:rPr>
          <w:i/>
          <w:iCs/>
          <w:sz w:val="20"/>
          <w:szCs w:val="20"/>
        </w:rPr>
        <w:t>et al.</w:t>
      </w:r>
      <w:r w:rsidRPr="00E66445">
        <w:rPr>
          <w:sz w:val="20"/>
          <w:szCs w:val="20"/>
        </w:rPr>
        <w:t xml:space="preserve"> (2018) ‘</w:t>
      </w:r>
      <w:proofErr w:type="gramStart"/>
      <w:r w:rsidRPr="00E66445">
        <w:rPr>
          <w:sz w:val="20"/>
          <w:szCs w:val="20"/>
        </w:rPr>
        <w:t>Five year</w:t>
      </w:r>
      <w:proofErr w:type="gramEnd"/>
      <w:r w:rsidRPr="00E66445">
        <w:rPr>
          <w:sz w:val="20"/>
          <w:szCs w:val="20"/>
        </w:rPr>
        <w:t xml:space="preserve"> trends in the serve size, energy, and sodium contents of New Zealand fast foods: 2012 to 2016’, </w:t>
      </w:r>
      <w:r w:rsidRPr="00E66445">
        <w:rPr>
          <w:i/>
          <w:iCs/>
          <w:sz w:val="20"/>
          <w:szCs w:val="20"/>
        </w:rPr>
        <w:t>Nutrition Journal</w:t>
      </w:r>
      <w:r w:rsidRPr="00E66445">
        <w:rPr>
          <w:sz w:val="20"/>
          <w:szCs w:val="20"/>
        </w:rPr>
        <w:t>. Nutrition Journal, 17(1), pp. 1–11.</w:t>
      </w:r>
      <w:r>
        <w:rPr>
          <w:sz w:val="20"/>
          <w:szCs w:val="20"/>
        </w:rPr>
        <w:t xml:space="preserve"> </w:t>
      </w:r>
      <w:proofErr w:type="spellStart"/>
      <w:r>
        <w:rPr>
          <w:sz w:val="20"/>
          <w:szCs w:val="20"/>
        </w:rPr>
        <w:t>doi</w:t>
      </w:r>
      <w:proofErr w:type="spellEnd"/>
      <w:r>
        <w:rPr>
          <w:sz w:val="20"/>
          <w:szCs w:val="20"/>
        </w:rPr>
        <w:t xml:space="preserve">: 10.1186/s12937-018-0373-7 </w:t>
      </w:r>
    </w:p>
  </w:footnote>
  <w:footnote w:id="172">
    <w:p w14:paraId="170A82AD" w14:textId="0D5CABD9" w:rsidR="000F1209" w:rsidRDefault="000F1209" w:rsidP="002F08B5">
      <w:pPr>
        <w:pStyle w:val="FootnoteText"/>
      </w:pPr>
      <w:r w:rsidRPr="00E66445">
        <w:rPr>
          <w:rStyle w:val="FootnoteReference"/>
        </w:rPr>
        <w:footnoteRef/>
      </w:r>
      <w:r w:rsidRPr="00E66445">
        <w:t xml:space="preserve"> Dunford, E. </w:t>
      </w:r>
      <w:r w:rsidRPr="00E66445">
        <w:rPr>
          <w:i/>
          <w:iCs/>
        </w:rPr>
        <w:t>et al.</w:t>
      </w:r>
      <w:r w:rsidRPr="00E66445">
        <w:t xml:space="preserve"> (2012) ‘The variability of reported salt levels in fast foods across six countries: Opportunities for salt reduction’, </w:t>
      </w:r>
      <w:proofErr w:type="spellStart"/>
      <w:r w:rsidRPr="00E66445">
        <w:rPr>
          <w:i/>
          <w:iCs/>
        </w:rPr>
        <w:t>Cmaj</w:t>
      </w:r>
      <w:proofErr w:type="spellEnd"/>
      <w:r w:rsidRPr="00E66445">
        <w:t xml:space="preserve">, 184(9), pp. 1023–1028. </w:t>
      </w:r>
      <w:proofErr w:type="spellStart"/>
      <w:r w:rsidRPr="00E66445">
        <w:t>doi</w:t>
      </w:r>
      <w:proofErr w:type="spellEnd"/>
      <w:r w:rsidRPr="00E66445">
        <w:t>: 10.1503/cmaj.111895</w:t>
      </w:r>
      <w:r>
        <w:t xml:space="preserve"> </w:t>
      </w:r>
      <w:r w:rsidRPr="00E66445">
        <w:t>(page 1026).</w:t>
      </w:r>
    </w:p>
  </w:footnote>
  <w:footnote w:id="173">
    <w:p w14:paraId="0FF62E0B" w14:textId="62B92244" w:rsidR="000F1209" w:rsidRDefault="000F1209">
      <w:pPr>
        <w:pStyle w:val="FootnoteText"/>
      </w:pPr>
      <w:r>
        <w:rPr>
          <w:rStyle w:val="FootnoteReference"/>
        </w:rPr>
        <w:footnoteRef/>
      </w:r>
      <w:r>
        <w:t xml:space="preserve"> The George Institute for Global Health (2019)</w:t>
      </w:r>
      <w:r w:rsidRPr="00AA0BFB">
        <w:t xml:space="preserve"> </w:t>
      </w:r>
      <w:r w:rsidRPr="00AA0BFB">
        <w:rPr>
          <w:i/>
        </w:rPr>
        <w:t>Salt levels in meat alternatives in Australia (2010-2019).</w:t>
      </w:r>
      <w:r w:rsidRPr="00AA0BFB">
        <w:t xml:space="preserve"> Available at: </w:t>
      </w:r>
      <w:hyperlink r:id="rId91" w:history="1">
        <w:r w:rsidRPr="00AA0BFB">
          <w:rPr>
            <w:rStyle w:val="Hyperlink"/>
          </w:rPr>
          <w:t>https://www.georgeinstitute.org/sites/default/files/meat_alternatives_key_findings_report.pdf</w:t>
        </w:r>
      </w:hyperlink>
    </w:p>
  </w:footnote>
  <w:footnote w:id="174">
    <w:p w14:paraId="34443CDC" w14:textId="77777777" w:rsidR="000F1209" w:rsidRPr="001B3F5F" w:rsidRDefault="000F1209" w:rsidP="00FE7426">
      <w:pPr>
        <w:pStyle w:val="FootnoteText"/>
      </w:pPr>
      <w:r>
        <w:rPr>
          <w:rStyle w:val="FootnoteReference"/>
        </w:rPr>
        <w:footnoteRef/>
      </w:r>
      <w:r>
        <w:t xml:space="preserve"> GBD 2017 Diet Collaborators (2019), ‘Health effects of dietary risks in 195 counties, 1990-2017: a systematic analysis for the Global Burden of Disease Study 2017’, </w:t>
      </w:r>
      <w:r>
        <w:rPr>
          <w:i/>
        </w:rPr>
        <w:t xml:space="preserve">The Lancet, </w:t>
      </w:r>
      <w:r>
        <w:t xml:space="preserve">393(10184); 1958-1972. </w:t>
      </w:r>
    </w:p>
  </w:footnote>
  <w:footnote w:id="175">
    <w:p w14:paraId="1F9E6FFF" w14:textId="4D50640B" w:rsidR="000F1209" w:rsidRPr="00DB6FDB" w:rsidRDefault="000F1209">
      <w:pPr>
        <w:pStyle w:val="FootnoteText"/>
      </w:pPr>
      <w:r>
        <w:rPr>
          <w:rStyle w:val="FootnoteReference"/>
        </w:rPr>
        <w:footnoteRef/>
      </w:r>
      <w:r>
        <w:t xml:space="preserve"> Reynolds, E. </w:t>
      </w:r>
      <w:r>
        <w:rPr>
          <w:i/>
        </w:rPr>
        <w:t xml:space="preserve">et al. </w:t>
      </w:r>
      <w:r>
        <w:t xml:space="preserve">(2019) ‘Carbohydrate quality and human health: A series of systematic reviews and meta-analyses’, </w:t>
      </w:r>
      <w:r>
        <w:rPr>
          <w:i/>
        </w:rPr>
        <w:t xml:space="preserve">The Lancet, </w:t>
      </w:r>
      <w:r>
        <w:t xml:space="preserve">393(10170), PP. 434-445. Doi: </w:t>
      </w:r>
      <w:r w:rsidRPr="00DB6FDB">
        <w:t>10.1016/S0140-6736(18)31809-9</w:t>
      </w:r>
    </w:p>
  </w:footnote>
  <w:footnote w:id="176">
    <w:p w14:paraId="21BEEC00" w14:textId="3D6A29CC" w:rsidR="000F1209" w:rsidRDefault="000F1209">
      <w:pPr>
        <w:pStyle w:val="FootnoteText"/>
      </w:pPr>
      <w:r>
        <w:rPr>
          <w:rStyle w:val="FootnoteReference"/>
        </w:rPr>
        <w:footnoteRef/>
      </w:r>
      <w:r>
        <w:t xml:space="preserve"> New Zealand Ministry of Health (2015) </w:t>
      </w:r>
      <w:r w:rsidRPr="00AA5565">
        <w:rPr>
          <w:i/>
        </w:rPr>
        <w:t>Eating and Activity Guidelines for New Zealand Adults</w:t>
      </w:r>
      <w:r>
        <w:rPr>
          <w:i/>
        </w:rPr>
        <w:t xml:space="preserve">, </w:t>
      </w:r>
      <w:r>
        <w:t xml:space="preserve">Wellington: Ministry of Health. Available at: </w:t>
      </w:r>
      <w:r w:rsidRPr="00AA5565">
        <w:t>https://www.health.govt.nz/publication/eating-and-activity-guidelines-new-zealand-adults</w:t>
      </w:r>
    </w:p>
  </w:footnote>
  <w:footnote w:id="177">
    <w:p w14:paraId="4BCF2DC9" w14:textId="3E2FA80D" w:rsidR="000F1209" w:rsidRPr="0073045C" w:rsidRDefault="000F1209" w:rsidP="00362EC3">
      <w:pPr>
        <w:pStyle w:val="FootnoteText"/>
      </w:pPr>
      <w:r>
        <w:rPr>
          <w:rStyle w:val="FootnoteReference"/>
        </w:rPr>
        <w:footnoteRef/>
      </w:r>
      <w:r>
        <w:t xml:space="preserve"> </w:t>
      </w:r>
      <w:proofErr w:type="spellStart"/>
      <w:r>
        <w:t>Mancino</w:t>
      </w:r>
      <w:proofErr w:type="spellEnd"/>
      <w:r>
        <w:t xml:space="preserve">, L., </w:t>
      </w:r>
      <w:proofErr w:type="spellStart"/>
      <w:r>
        <w:t>Kuchler</w:t>
      </w:r>
      <w:proofErr w:type="spellEnd"/>
      <w:r>
        <w:t xml:space="preserve">, F. and </w:t>
      </w:r>
      <w:proofErr w:type="spellStart"/>
      <w:r>
        <w:t>Leibtag</w:t>
      </w:r>
      <w:proofErr w:type="spellEnd"/>
      <w:r>
        <w:t xml:space="preserve">, E. (2008) ‘Getting consumers to eat more </w:t>
      </w:r>
      <w:proofErr w:type="gramStart"/>
      <w:r>
        <w:t>whole-grains</w:t>
      </w:r>
      <w:proofErr w:type="gramEnd"/>
      <w:r>
        <w:t xml:space="preserve">: The role of policy, information and food manufacturers’, </w:t>
      </w:r>
      <w:r>
        <w:rPr>
          <w:i/>
        </w:rPr>
        <w:t xml:space="preserve">Food Policy, </w:t>
      </w:r>
      <w:r>
        <w:t xml:space="preserve">33(6); 489-496. </w:t>
      </w:r>
    </w:p>
  </w:footnote>
  <w:footnote w:id="178">
    <w:p w14:paraId="5664A99F" w14:textId="62000565" w:rsidR="000F1209" w:rsidRDefault="000F1209">
      <w:pPr>
        <w:pStyle w:val="FootnoteText"/>
      </w:pPr>
      <w:r>
        <w:rPr>
          <w:rStyle w:val="FootnoteReference"/>
        </w:rPr>
        <w:footnoteRef/>
      </w:r>
      <w:r>
        <w:t xml:space="preserve"> Grains &amp; Legumes Nutrition Council (2017) </w:t>
      </w:r>
      <w:r>
        <w:rPr>
          <w:i/>
          <w:iCs/>
        </w:rPr>
        <w:t>Grains &amp; Legumes Nutrition Council Code of Practice for Whole Grain Ingredient Content Claims</w:t>
      </w:r>
      <w:r>
        <w:t xml:space="preserve">. Available at: </w:t>
      </w:r>
      <w:hyperlink r:id="rId92" w:history="1">
        <w:r w:rsidRPr="009801CC">
          <w:rPr>
            <w:rStyle w:val="Hyperlink"/>
          </w:rPr>
          <w:t>https://www.glnc.org.au/wp-content/uploads/2013/12/GLNC-Code-of-Practice-for-Whole-Grain-Ingredient-Content-Claims-2017.pdf</w:t>
        </w:r>
      </w:hyperlink>
      <w:r>
        <w:t xml:space="preserve">. </w:t>
      </w:r>
    </w:p>
  </w:footnote>
  <w:footnote w:id="179">
    <w:p w14:paraId="06BCF0A5" w14:textId="09C0DFCE" w:rsidR="000F1209" w:rsidRPr="00EE44FB" w:rsidRDefault="000F1209" w:rsidP="002C50DE">
      <w:pPr>
        <w:pStyle w:val="FootnoteText"/>
      </w:pPr>
      <w:r>
        <w:rPr>
          <w:rStyle w:val="FootnoteReference"/>
        </w:rPr>
        <w:footnoteRef/>
      </w:r>
      <w:r>
        <w:t xml:space="preserve"> </w:t>
      </w:r>
      <w:r w:rsidRPr="00863100">
        <w:t>W</w:t>
      </w:r>
      <w:r>
        <w:t>orld Cancer Research Fund (WCRF), (</w:t>
      </w:r>
      <w:proofErr w:type="spellStart"/>
      <w:r>
        <w:t>n.d</w:t>
      </w:r>
      <w:proofErr w:type="spellEnd"/>
      <w:r>
        <w:t xml:space="preserve">). </w:t>
      </w:r>
      <w:r w:rsidRPr="00EE44FB">
        <w:rPr>
          <w:i/>
        </w:rPr>
        <w:t>Nourishing and Moving Policy Database</w:t>
      </w:r>
      <w:r>
        <w:rPr>
          <w:i/>
        </w:rPr>
        <w:t xml:space="preserve">. </w:t>
      </w:r>
      <w:r>
        <w:t xml:space="preserve">Available at </w:t>
      </w:r>
      <w:hyperlink r:id="rId93" w:history="1">
        <w:r w:rsidRPr="007B0473">
          <w:rPr>
            <w:rStyle w:val="Hyperlink"/>
          </w:rPr>
          <w:t>https://policydatabase.wcrf.org/</w:t>
        </w:r>
      </w:hyperlink>
      <w:r>
        <w:t xml:space="preserve"> </w:t>
      </w:r>
    </w:p>
  </w:footnote>
  <w:footnote w:id="180">
    <w:p w14:paraId="386830E6" w14:textId="584CA6D6" w:rsidR="000F1209" w:rsidRPr="00ED3FD2" w:rsidRDefault="000F1209" w:rsidP="00ED3FD2">
      <w:pPr>
        <w:pStyle w:val="NoSpacing"/>
        <w:rPr>
          <w:color w:val="70AD47" w:themeColor="accent6"/>
          <w:sz w:val="20"/>
          <w:szCs w:val="20"/>
        </w:rPr>
      </w:pPr>
      <w:r>
        <w:rPr>
          <w:rStyle w:val="FootnoteReference"/>
        </w:rPr>
        <w:footnoteRef/>
      </w:r>
      <w:r>
        <w:t xml:space="preserve"> </w:t>
      </w:r>
      <w:r w:rsidRPr="00ED3FD2">
        <w:rPr>
          <w:rFonts w:ascii="Arial" w:eastAsia="Times New Roman" w:hAnsi="Arial" w:cs="Arial"/>
          <w:color w:val="00B0F0"/>
          <w:sz w:val="20"/>
          <w:szCs w:val="20"/>
          <w:lang w:val="en-GB" w:eastAsia="en-GB"/>
        </w:rPr>
        <w:t>Blue = mandatory compositional limits,</w:t>
      </w:r>
      <w:r w:rsidRPr="00ED3FD2">
        <w:rPr>
          <w:color w:val="FF0000"/>
          <w:sz w:val="20"/>
          <w:szCs w:val="20"/>
        </w:rPr>
        <w:t xml:space="preserve"> </w:t>
      </w:r>
      <w:r w:rsidRPr="00ED3FD2">
        <w:rPr>
          <w:rFonts w:ascii="Arial" w:eastAsia="Times New Roman" w:hAnsi="Arial" w:cs="Arial"/>
          <w:color w:val="7030A0"/>
          <w:sz w:val="20"/>
          <w:szCs w:val="20"/>
          <w:lang w:val="en-GB" w:eastAsia="en-GB"/>
        </w:rPr>
        <w:t xml:space="preserve">Purple = voluntary reformulation </w:t>
      </w:r>
      <w:r>
        <w:rPr>
          <w:rFonts w:ascii="Arial" w:eastAsia="Times New Roman" w:hAnsi="Arial" w:cs="Arial"/>
          <w:color w:val="7030A0"/>
          <w:sz w:val="20"/>
          <w:szCs w:val="20"/>
          <w:lang w:val="en-GB" w:eastAsia="en-GB"/>
        </w:rPr>
        <w:t>targets</w:t>
      </w:r>
    </w:p>
  </w:footnote>
  <w:footnote w:id="181">
    <w:p w14:paraId="534FE731" w14:textId="7F191A42" w:rsidR="000F1209" w:rsidRPr="00EB78C9" w:rsidRDefault="000F1209" w:rsidP="00EB78C9">
      <w:pPr>
        <w:rPr>
          <w:sz w:val="20"/>
          <w:szCs w:val="20"/>
        </w:rPr>
      </w:pPr>
      <w:r w:rsidRPr="00AA76DD">
        <w:rPr>
          <w:rStyle w:val="FootnoteReference"/>
          <w:sz w:val="20"/>
          <w:szCs w:val="20"/>
        </w:rPr>
        <w:footnoteRef/>
      </w:r>
      <w:r w:rsidRPr="00AA76DD">
        <w:rPr>
          <w:sz w:val="20"/>
          <w:szCs w:val="20"/>
        </w:rPr>
        <w:t xml:space="preserve"> Progress information has not been verified by the </w:t>
      </w:r>
      <w:r>
        <w:rPr>
          <w:sz w:val="20"/>
          <w:szCs w:val="20"/>
        </w:rPr>
        <w:t xml:space="preserve">New Zealand </w:t>
      </w:r>
      <w:r w:rsidRPr="00AA76DD">
        <w:rPr>
          <w:sz w:val="20"/>
          <w:szCs w:val="20"/>
        </w:rPr>
        <w:t xml:space="preserve">Ministry of Health. </w:t>
      </w:r>
    </w:p>
  </w:footnote>
  <w:footnote w:id="182">
    <w:p w14:paraId="00C8F097" w14:textId="77777777" w:rsidR="000F1209" w:rsidRDefault="000F1209" w:rsidP="0052296C">
      <w:pPr>
        <w:pStyle w:val="FootnoteText"/>
      </w:pPr>
      <w:r>
        <w:rPr>
          <w:rStyle w:val="FootnoteReference"/>
        </w:rPr>
        <w:footnoteRef/>
      </w:r>
      <w:r>
        <w:t xml:space="preserve"> An approach that considers the broad elements of the food system, both within the food regulation system as well as and voluntary initiatives.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72A7A"/>
    <w:multiLevelType w:val="hybridMultilevel"/>
    <w:tmpl w:val="4EB878D4"/>
    <w:lvl w:ilvl="0" w:tplc="5CB4D6E8">
      <w:start w:val="1"/>
      <w:numFmt w:val="bullet"/>
      <w:lvlText w:val=""/>
      <w:lvlJc w:val="left"/>
      <w:pPr>
        <w:ind w:left="360" w:hanging="360"/>
      </w:pPr>
      <w:rPr>
        <w:rFonts w:ascii="Symbol" w:hAnsi="Symbol" w:hint="default"/>
        <w:sz w:val="16"/>
        <w:szCs w:val="16"/>
      </w:rPr>
    </w:lvl>
    <w:lvl w:ilvl="1" w:tplc="1EA04FA4">
      <w:numFmt w:val="bullet"/>
      <w:lvlText w:val="-"/>
      <w:lvlJc w:val="left"/>
      <w:pPr>
        <w:ind w:left="1080" w:hanging="360"/>
      </w:pPr>
      <w:rPr>
        <w:rFonts w:ascii="Calibri" w:eastAsiaTheme="minorHAnsi" w:hAnsi="Calibri" w:cs="Calibr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9157E73"/>
    <w:multiLevelType w:val="hybridMultilevel"/>
    <w:tmpl w:val="711EF6D4"/>
    <w:lvl w:ilvl="0" w:tplc="786C4F1C">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BC55519"/>
    <w:multiLevelType w:val="hybridMultilevel"/>
    <w:tmpl w:val="7CF897D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379C26BC"/>
    <w:multiLevelType w:val="hybridMultilevel"/>
    <w:tmpl w:val="5D48FA76"/>
    <w:lvl w:ilvl="0" w:tplc="11FAF676">
      <w:start w:val="1"/>
      <w:numFmt w:val="bullet"/>
      <w:lvlText w:val=""/>
      <w:lvlJc w:val="left"/>
      <w:pPr>
        <w:ind w:left="720" w:hanging="360"/>
      </w:pPr>
      <w:rPr>
        <w:rFonts w:ascii="Symbol" w:hAnsi="Symbol" w:hint="default"/>
      </w:rPr>
    </w:lvl>
    <w:lvl w:ilvl="1" w:tplc="977AC4E2">
      <w:start w:val="1"/>
      <w:numFmt w:val="bullet"/>
      <w:lvlText w:val="o"/>
      <w:lvlJc w:val="left"/>
      <w:pPr>
        <w:ind w:left="1440" w:hanging="360"/>
      </w:pPr>
      <w:rPr>
        <w:rFonts w:ascii="Courier New" w:hAnsi="Courier New" w:hint="default"/>
      </w:rPr>
    </w:lvl>
    <w:lvl w:ilvl="2" w:tplc="B9AA578A">
      <w:start w:val="1"/>
      <w:numFmt w:val="bullet"/>
      <w:lvlText w:val=""/>
      <w:lvlJc w:val="left"/>
      <w:pPr>
        <w:ind w:left="2160" w:hanging="360"/>
      </w:pPr>
      <w:rPr>
        <w:rFonts w:ascii="Wingdings" w:hAnsi="Wingdings" w:hint="default"/>
      </w:rPr>
    </w:lvl>
    <w:lvl w:ilvl="3" w:tplc="A7BEABEC">
      <w:start w:val="1"/>
      <w:numFmt w:val="bullet"/>
      <w:lvlText w:val=""/>
      <w:lvlJc w:val="left"/>
      <w:pPr>
        <w:ind w:left="2880" w:hanging="360"/>
      </w:pPr>
      <w:rPr>
        <w:rFonts w:ascii="Symbol" w:hAnsi="Symbol" w:hint="default"/>
      </w:rPr>
    </w:lvl>
    <w:lvl w:ilvl="4" w:tplc="1B52A29E">
      <w:start w:val="1"/>
      <w:numFmt w:val="bullet"/>
      <w:lvlText w:val="o"/>
      <w:lvlJc w:val="left"/>
      <w:pPr>
        <w:ind w:left="3600" w:hanging="360"/>
      </w:pPr>
      <w:rPr>
        <w:rFonts w:ascii="Courier New" w:hAnsi="Courier New" w:hint="default"/>
      </w:rPr>
    </w:lvl>
    <w:lvl w:ilvl="5" w:tplc="02025622">
      <w:start w:val="1"/>
      <w:numFmt w:val="bullet"/>
      <w:lvlText w:val=""/>
      <w:lvlJc w:val="left"/>
      <w:pPr>
        <w:ind w:left="4320" w:hanging="360"/>
      </w:pPr>
      <w:rPr>
        <w:rFonts w:ascii="Wingdings" w:hAnsi="Wingdings" w:hint="default"/>
      </w:rPr>
    </w:lvl>
    <w:lvl w:ilvl="6" w:tplc="E5DE26B0">
      <w:start w:val="1"/>
      <w:numFmt w:val="bullet"/>
      <w:lvlText w:val=""/>
      <w:lvlJc w:val="left"/>
      <w:pPr>
        <w:ind w:left="5040" w:hanging="360"/>
      </w:pPr>
      <w:rPr>
        <w:rFonts w:ascii="Symbol" w:hAnsi="Symbol" w:hint="default"/>
      </w:rPr>
    </w:lvl>
    <w:lvl w:ilvl="7" w:tplc="B0D0ACAC">
      <w:start w:val="1"/>
      <w:numFmt w:val="bullet"/>
      <w:lvlText w:val="o"/>
      <w:lvlJc w:val="left"/>
      <w:pPr>
        <w:ind w:left="5760" w:hanging="360"/>
      </w:pPr>
      <w:rPr>
        <w:rFonts w:ascii="Courier New" w:hAnsi="Courier New" w:hint="default"/>
      </w:rPr>
    </w:lvl>
    <w:lvl w:ilvl="8" w:tplc="E88C06DE">
      <w:start w:val="1"/>
      <w:numFmt w:val="bullet"/>
      <w:lvlText w:val=""/>
      <w:lvlJc w:val="left"/>
      <w:pPr>
        <w:ind w:left="6480" w:hanging="360"/>
      </w:pPr>
      <w:rPr>
        <w:rFonts w:ascii="Wingdings" w:hAnsi="Wingdings" w:hint="default"/>
      </w:rPr>
    </w:lvl>
  </w:abstractNum>
  <w:abstractNum w:abstractNumId="4" w15:restartNumberingAfterBreak="0">
    <w:nsid w:val="3E0214D4"/>
    <w:multiLevelType w:val="hybridMultilevel"/>
    <w:tmpl w:val="932CA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F206435"/>
    <w:multiLevelType w:val="hybridMultilevel"/>
    <w:tmpl w:val="1772EF54"/>
    <w:lvl w:ilvl="0" w:tplc="0BEE249A">
      <w:start w:val="1"/>
      <w:numFmt w:val="bullet"/>
      <w:lvlText w:val=""/>
      <w:lvlJc w:val="left"/>
      <w:pPr>
        <w:ind w:left="720" w:hanging="360"/>
      </w:pPr>
      <w:rPr>
        <w:rFonts w:ascii="Symbol" w:hAnsi="Symbol" w:hint="default"/>
      </w:rPr>
    </w:lvl>
    <w:lvl w:ilvl="1" w:tplc="835A7BE4">
      <w:start w:val="1"/>
      <w:numFmt w:val="bullet"/>
      <w:lvlText w:val="o"/>
      <w:lvlJc w:val="left"/>
      <w:pPr>
        <w:ind w:left="1440" w:hanging="360"/>
      </w:pPr>
      <w:rPr>
        <w:rFonts w:ascii="Courier New" w:hAnsi="Courier New" w:hint="default"/>
      </w:rPr>
    </w:lvl>
    <w:lvl w:ilvl="2" w:tplc="5B5C61AE">
      <w:start w:val="1"/>
      <w:numFmt w:val="bullet"/>
      <w:lvlText w:val=""/>
      <w:lvlJc w:val="left"/>
      <w:pPr>
        <w:ind w:left="2160" w:hanging="360"/>
      </w:pPr>
      <w:rPr>
        <w:rFonts w:ascii="Wingdings" w:hAnsi="Wingdings" w:hint="default"/>
      </w:rPr>
    </w:lvl>
    <w:lvl w:ilvl="3" w:tplc="DD2EBD26">
      <w:start w:val="1"/>
      <w:numFmt w:val="bullet"/>
      <w:lvlText w:val=""/>
      <w:lvlJc w:val="left"/>
      <w:pPr>
        <w:ind w:left="2880" w:hanging="360"/>
      </w:pPr>
      <w:rPr>
        <w:rFonts w:ascii="Symbol" w:hAnsi="Symbol" w:hint="default"/>
      </w:rPr>
    </w:lvl>
    <w:lvl w:ilvl="4" w:tplc="D4E4B792">
      <w:start w:val="1"/>
      <w:numFmt w:val="bullet"/>
      <w:lvlText w:val="o"/>
      <w:lvlJc w:val="left"/>
      <w:pPr>
        <w:ind w:left="3600" w:hanging="360"/>
      </w:pPr>
      <w:rPr>
        <w:rFonts w:ascii="Courier New" w:hAnsi="Courier New" w:hint="default"/>
      </w:rPr>
    </w:lvl>
    <w:lvl w:ilvl="5" w:tplc="FCF61308">
      <w:start w:val="1"/>
      <w:numFmt w:val="bullet"/>
      <w:lvlText w:val=""/>
      <w:lvlJc w:val="left"/>
      <w:pPr>
        <w:ind w:left="4320" w:hanging="360"/>
      </w:pPr>
      <w:rPr>
        <w:rFonts w:ascii="Wingdings" w:hAnsi="Wingdings" w:hint="default"/>
      </w:rPr>
    </w:lvl>
    <w:lvl w:ilvl="6" w:tplc="74C62B84">
      <w:start w:val="1"/>
      <w:numFmt w:val="bullet"/>
      <w:lvlText w:val=""/>
      <w:lvlJc w:val="left"/>
      <w:pPr>
        <w:ind w:left="5040" w:hanging="360"/>
      </w:pPr>
      <w:rPr>
        <w:rFonts w:ascii="Symbol" w:hAnsi="Symbol" w:hint="default"/>
      </w:rPr>
    </w:lvl>
    <w:lvl w:ilvl="7" w:tplc="D57C83D2">
      <w:start w:val="1"/>
      <w:numFmt w:val="bullet"/>
      <w:lvlText w:val="o"/>
      <w:lvlJc w:val="left"/>
      <w:pPr>
        <w:ind w:left="5760" w:hanging="360"/>
      </w:pPr>
      <w:rPr>
        <w:rFonts w:ascii="Courier New" w:hAnsi="Courier New" w:hint="default"/>
      </w:rPr>
    </w:lvl>
    <w:lvl w:ilvl="8" w:tplc="94224042">
      <w:start w:val="1"/>
      <w:numFmt w:val="bullet"/>
      <w:lvlText w:val=""/>
      <w:lvlJc w:val="left"/>
      <w:pPr>
        <w:ind w:left="6480" w:hanging="360"/>
      </w:pPr>
      <w:rPr>
        <w:rFonts w:ascii="Wingdings" w:hAnsi="Wingdings" w:hint="default"/>
      </w:rPr>
    </w:lvl>
  </w:abstractNum>
  <w:abstractNum w:abstractNumId="6" w15:restartNumberingAfterBreak="0">
    <w:nsid w:val="41BB6B68"/>
    <w:multiLevelType w:val="hybridMultilevel"/>
    <w:tmpl w:val="84762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4244DFF"/>
    <w:multiLevelType w:val="hybridMultilevel"/>
    <w:tmpl w:val="3C82C732"/>
    <w:lvl w:ilvl="0" w:tplc="0C090001">
      <w:start w:val="1"/>
      <w:numFmt w:val="bullet"/>
      <w:lvlText w:val=""/>
      <w:lvlJc w:val="left"/>
      <w:pPr>
        <w:ind w:left="612" w:hanging="360"/>
      </w:pPr>
      <w:rPr>
        <w:rFonts w:ascii="Symbol" w:hAnsi="Symbol" w:hint="default"/>
        <w:sz w:val="16"/>
      </w:rPr>
    </w:lvl>
    <w:lvl w:ilvl="1" w:tplc="0C090003" w:tentative="1">
      <w:start w:val="1"/>
      <w:numFmt w:val="bullet"/>
      <w:lvlText w:val="o"/>
      <w:lvlJc w:val="left"/>
      <w:pPr>
        <w:ind w:left="1332" w:hanging="360"/>
      </w:pPr>
      <w:rPr>
        <w:rFonts w:ascii="Courier New" w:hAnsi="Courier New" w:cs="Courier New" w:hint="default"/>
      </w:rPr>
    </w:lvl>
    <w:lvl w:ilvl="2" w:tplc="0C090005" w:tentative="1">
      <w:start w:val="1"/>
      <w:numFmt w:val="bullet"/>
      <w:lvlText w:val=""/>
      <w:lvlJc w:val="left"/>
      <w:pPr>
        <w:ind w:left="2052" w:hanging="360"/>
      </w:pPr>
      <w:rPr>
        <w:rFonts w:ascii="Wingdings" w:hAnsi="Wingdings" w:hint="default"/>
      </w:rPr>
    </w:lvl>
    <w:lvl w:ilvl="3" w:tplc="0C090001" w:tentative="1">
      <w:start w:val="1"/>
      <w:numFmt w:val="bullet"/>
      <w:lvlText w:val=""/>
      <w:lvlJc w:val="left"/>
      <w:pPr>
        <w:ind w:left="2772" w:hanging="360"/>
      </w:pPr>
      <w:rPr>
        <w:rFonts w:ascii="Symbol" w:hAnsi="Symbol" w:hint="default"/>
      </w:rPr>
    </w:lvl>
    <w:lvl w:ilvl="4" w:tplc="0C090003" w:tentative="1">
      <w:start w:val="1"/>
      <w:numFmt w:val="bullet"/>
      <w:lvlText w:val="o"/>
      <w:lvlJc w:val="left"/>
      <w:pPr>
        <w:ind w:left="3492" w:hanging="360"/>
      </w:pPr>
      <w:rPr>
        <w:rFonts w:ascii="Courier New" w:hAnsi="Courier New" w:cs="Courier New" w:hint="default"/>
      </w:rPr>
    </w:lvl>
    <w:lvl w:ilvl="5" w:tplc="0C090005" w:tentative="1">
      <w:start w:val="1"/>
      <w:numFmt w:val="bullet"/>
      <w:lvlText w:val=""/>
      <w:lvlJc w:val="left"/>
      <w:pPr>
        <w:ind w:left="4212" w:hanging="360"/>
      </w:pPr>
      <w:rPr>
        <w:rFonts w:ascii="Wingdings" w:hAnsi="Wingdings" w:hint="default"/>
      </w:rPr>
    </w:lvl>
    <w:lvl w:ilvl="6" w:tplc="0C090001" w:tentative="1">
      <w:start w:val="1"/>
      <w:numFmt w:val="bullet"/>
      <w:lvlText w:val=""/>
      <w:lvlJc w:val="left"/>
      <w:pPr>
        <w:ind w:left="4932" w:hanging="360"/>
      </w:pPr>
      <w:rPr>
        <w:rFonts w:ascii="Symbol" w:hAnsi="Symbol" w:hint="default"/>
      </w:rPr>
    </w:lvl>
    <w:lvl w:ilvl="7" w:tplc="0C090003" w:tentative="1">
      <w:start w:val="1"/>
      <w:numFmt w:val="bullet"/>
      <w:lvlText w:val="o"/>
      <w:lvlJc w:val="left"/>
      <w:pPr>
        <w:ind w:left="5652" w:hanging="360"/>
      </w:pPr>
      <w:rPr>
        <w:rFonts w:ascii="Courier New" w:hAnsi="Courier New" w:cs="Courier New" w:hint="default"/>
      </w:rPr>
    </w:lvl>
    <w:lvl w:ilvl="8" w:tplc="0C090005" w:tentative="1">
      <w:start w:val="1"/>
      <w:numFmt w:val="bullet"/>
      <w:lvlText w:val=""/>
      <w:lvlJc w:val="left"/>
      <w:pPr>
        <w:ind w:left="6372" w:hanging="360"/>
      </w:pPr>
      <w:rPr>
        <w:rFonts w:ascii="Wingdings" w:hAnsi="Wingdings" w:hint="default"/>
      </w:rPr>
    </w:lvl>
  </w:abstractNum>
  <w:abstractNum w:abstractNumId="8" w15:restartNumberingAfterBreak="0">
    <w:nsid w:val="451C0E37"/>
    <w:multiLevelType w:val="hybridMultilevel"/>
    <w:tmpl w:val="133C2B42"/>
    <w:lvl w:ilvl="0" w:tplc="E8B04BF0">
      <w:start w:val="1"/>
      <w:numFmt w:val="decimal"/>
      <w:lvlText w:val="%1."/>
      <w:lvlJc w:val="left"/>
      <w:pPr>
        <w:ind w:left="720" w:hanging="360"/>
      </w:pPr>
    </w:lvl>
    <w:lvl w:ilvl="1" w:tplc="C6703096">
      <w:start w:val="1"/>
      <w:numFmt w:val="lowerLetter"/>
      <w:lvlText w:val="%2."/>
      <w:lvlJc w:val="left"/>
      <w:pPr>
        <w:ind w:left="1440" w:hanging="360"/>
      </w:pPr>
    </w:lvl>
    <w:lvl w:ilvl="2" w:tplc="6018DE88">
      <w:start w:val="1"/>
      <w:numFmt w:val="lowerRoman"/>
      <w:lvlText w:val="%3."/>
      <w:lvlJc w:val="right"/>
      <w:pPr>
        <w:ind w:left="2160" w:hanging="180"/>
      </w:pPr>
    </w:lvl>
    <w:lvl w:ilvl="3" w:tplc="A8E015FE">
      <w:start w:val="1"/>
      <w:numFmt w:val="decimal"/>
      <w:lvlText w:val="%4."/>
      <w:lvlJc w:val="left"/>
      <w:pPr>
        <w:ind w:left="2880" w:hanging="360"/>
      </w:pPr>
    </w:lvl>
    <w:lvl w:ilvl="4" w:tplc="F4A878B2">
      <w:start w:val="1"/>
      <w:numFmt w:val="lowerLetter"/>
      <w:lvlText w:val="%5."/>
      <w:lvlJc w:val="left"/>
      <w:pPr>
        <w:ind w:left="3600" w:hanging="360"/>
      </w:pPr>
    </w:lvl>
    <w:lvl w:ilvl="5" w:tplc="A0708DDA">
      <w:start w:val="1"/>
      <w:numFmt w:val="lowerRoman"/>
      <w:lvlText w:val="%6."/>
      <w:lvlJc w:val="right"/>
      <w:pPr>
        <w:ind w:left="4320" w:hanging="180"/>
      </w:pPr>
    </w:lvl>
    <w:lvl w:ilvl="6" w:tplc="497A375C">
      <w:start w:val="1"/>
      <w:numFmt w:val="decimal"/>
      <w:lvlText w:val="%7."/>
      <w:lvlJc w:val="left"/>
      <w:pPr>
        <w:ind w:left="5040" w:hanging="360"/>
      </w:pPr>
    </w:lvl>
    <w:lvl w:ilvl="7" w:tplc="536A7E9E">
      <w:start w:val="1"/>
      <w:numFmt w:val="lowerLetter"/>
      <w:lvlText w:val="%8."/>
      <w:lvlJc w:val="left"/>
      <w:pPr>
        <w:ind w:left="5760" w:hanging="360"/>
      </w:pPr>
    </w:lvl>
    <w:lvl w:ilvl="8" w:tplc="D548A284">
      <w:start w:val="1"/>
      <w:numFmt w:val="lowerRoman"/>
      <w:lvlText w:val="%9."/>
      <w:lvlJc w:val="right"/>
      <w:pPr>
        <w:ind w:left="6480" w:hanging="180"/>
      </w:pPr>
    </w:lvl>
  </w:abstractNum>
  <w:abstractNum w:abstractNumId="9" w15:restartNumberingAfterBreak="0">
    <w:nsid w:val="4B361480"/>
    <w:multiLevelType w:val="singleLevel"/>
    <w:tmpl w:val="F514B7A8"/>
    <w:lvl w:ilvl="0">
      <w:start w:val="1"/>
      <w:numFmt w:val="decimal"/>
      <w:pStyle w:val="ISCnumbered"/>
      <w:lvlText w:val="%1."/>
      <w:lvlJc w:val="left"/>
      <w:pPr>
        <w:tabs>
          <w:tab w:val="num" w:pos="360"/>
        </w:tabs>
        <w:ind w:left="360" w:hanging="360"/>
      </w:pPr>
      <w:rPr>
        <w:rFonts w:cs="Times New Roman"/>
      </w:rPr>
    </w:lvl>
  </w:abstractNum>
  <w:abstractNum w:abstractNumId="10" w15:restartNumberingAfterBreak="0">
    <w:nsid w:val="5042295C"/>
    <w:multiLevelType w:val="hybridMultilevel"/>
    <w:tmpl w:val="C6EAB2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B587E4D"/>
    <w:multiLevelType w:val="hybridMultilevel"/>
    <w:tmpl w:val="3A261BC6"/>
    <w:lvl w:ilvl="0" w:tplc="F7DA1582">
      <w:start w:val="1"/>
      <w:numFmt w:val="bullet"/>
      <w:lvlText w:val=""/>
      <w:lvlJc w:val="left"/>
      <w:pPr>
        <w:ind w:left="720" w:hanging="360"/>
      </w:pPr>
      <w:rPr>
        <w:rFonts w:ascii="Symbol" w:hAnsi="Symbol" w:hint="default"/>
      </w:rPr>
    </w:lvl>
    <w:lvl w:ilvl="1" w:tplc="5B0A191C">
      <w:start w:val="1"/>
      <w:numFmt w:val="bullet"/>
      <w:lvlText w:val="o"/>
      <w:lvlJc w:val="left"/>
      <w:pPr>
        <w:ind w:left="1440" w:hanging="360"/>
      </w:pPr>
      <w:rPr>
        <w:rFonts w:ascii="Courier New" w:hAnsi="Courier New" w:hint="default"/>
      </w:rPr>
    </w:lvl>
    <w:lvl w:ilvl="2" w:tplc="8EEA30D8">
      <w:start w:val="1"/>
      <w:numFmt w:val="bullet"/>
      <w:lvlText w:val=""/>
      <w:lvlJc w:val="left"/>
      <w:pPr>
        <w:ind w:left="2160" w:hanging="360"/>
      </w:pPr>
      <w:rPr>
        <w:rFonts w:ascii="Wingdings" w:hAnsi="Wingdings" w:hint="default"/>
      </w:rPr>
    </w:lvl>
    <w:lvl w:ilvl="3" w:tplc="5F3AA238">
      <w:start w:val="1"/>
      <w:numFmt w:val="bullet"/>
      <w:lvlText w:val=""/>
      <w:lvlJc w:val="left"/>
      <w:pPr>
        <w:ind w:left="2880" w:hanging="360"/>
      </w:pPr>
      <w:rPr>
        <w:rFonts w:ascii="Symbol" w:hAnsi="Symbol" w:hint="default"/>
      </w:rPr>
    </w:lvl>
    <w:lvl w:ilvl="4" w:tplc="E006CB18">
      <w:start w:val="1"/>
      <w:numFmt w:val="bullet"/>
      <w:lvlText w:val="o"/>
      <w:lvlJc w:val="left"/>
      <w:pPr>
        <w:ind w:left="3600" w:hanging="360"/>
      </w:pPr>
      <w:rPr>
        <w:rFonts w:ascii="Courier New" w:hAnsi="Courier New" w:hint="default"/>
      </w:rPr>
    </w:lvl>
    <w:lvl w:ilvl="5" w:tplc="E4D69D74">
      <w:start w:val="1"/>
      <w:numFmt w:val="bullet"/>
      <w:lvlText w:val=""/>
      <w:lvlJc w:val="left"/>
      <w:pPr>
        <w:ind w:left="4320" w:hanging="360"/>
      </w:pPr>
      <w:rPr>
        <w:rFonts w:ascii="Wingdings" w:hAnsi="Wingdings" w:hint="default"/>
      </w:rPr>
    </w:lvl>
    <w:lvl w:ilvl="6" w:tplc="190646E2">
      <w:start w:val="1"/>
      <w:numFmt w:val="bullet"/>
      <w:lvlText w:val=""/>
      <w:lvlJc w:val="left"/>
      <w:pPr>
        <w:ind w:left="5040" w:hanging="360"/>
      </w:pPr>
      <w:rPr>
        <w:rFonts w:ascii="Symbol" w:hAnsi="Symbol" w:hint="default"/>
      </w:rPr>
    </w:lvl>
    <w:lvl w:ilvl="7" w:tplc="B55883EA">
      <w:start w:val="1"/>
      <w:numFmt w:val="bullet"/>
      <w:lvlText w:val="o"/>
      <w:lvlJc w:val="left"/>
      <w:pPr>
        <w:ind w:left="5760" w:hanging="360"/>
      </w:pPr>
      <w:rPr>
        <w:rFonts w:ascii="Courier New" w:hAnsi="Courier New" w:hint="default"/>
      </w:rPr>
    </w:lvl>
    <w:lvl w:ilvl="8" w:tplc="4A32AF6E">
      <w:start w:val="1"/>
      <w:numFmt w:val="bullet"/>
      <w:lvlText w:val=""/>
      <w:lvlJc w:val="left"/>
      <w:pPr>
        <w:ind w:left="6480" w:hanging="360"/>
      </w:pPr>
      <w:rPr>
        <w:rFonts w:ascii="Wingdings" w:hAnsi="Wingdings" w:hint="default"/>
      </w:rPr>
    </w:lvl>
  </w:abstractNum>
  <w:abstractNum w:abstractNumId="12" w15:restartNumberingAfterBreak="0">
    <w:nsid w:val="628D09ED"/>
    <w:multiLevelType w:val="hybridMultilevel"/>
    <w:tmpl w:val="4ECC748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3" w15:restartNumberingAfterBreak="0">
    <w:nsid w:val="63B55C8B"/>
    <w:multiLevelType w:val="hybridMultilevel"/>
    <w:tmpl w:val="9B160E30"/>
    <w:lvl w:ilvl="0" w:tplc="BEA2CEE8">
      <w:start w:val="1"/>
      <w:numFmt w:val="bullet"/>
      <w:lvlText w:val=""/>
      <w:lvlJc w:val="left"/>
      <w:pPr>
        <w:ind w:left="720" w:hanging="360"/>
      </w:pPr>
      <w:rPr>
        <w:rFonts w:ascii="Symbol" w:hAnsi="Symbol" w:hint="default"/>
        <w:sz w:val="16"/>
        <w:szCs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E661FF6"/>
    <w:multiLevelType w:val="hybridMultilevel"/>
    <w:tmpl w:val="AA226F30"/>
    <w:lvl w:ilvl="0" w:tplc="FB78DC0C">
      <w:start w:val="1"/>
      <w:numFmt w:val="bullet"/>
      <w:lvlText w:val=""/>
      <w:lvlJc w:val="left"/>
      <w:pPr>
        <w:ind w:left="720" w:hanging="360"/>
      </w:pPr>
      <w:rPr>
        <w:rFonts w:ascii="Symbol" w:hAnsi="Symbol" w:hint="default"/>
      </w:rPr>
    </w:lvl>
    <w:lvl w:ilvl="1" w:tplc="42261126">
      <w:start w:val="1"/>
      <w:numFmt w:val="bullet"/>
      <w:lvlText w:val="o"/>
      <w:lvlJc w:val="left"/>
      <w:pPr>
        <w:ind w:left="1440" w:hanging="360"/>
      </w:pPr>
      <w:rPr>
        <w:rFonts w:ascii="Courier New" w:hAnsi="Courier New" w:hint="default"/>
      </w:rPr>
    </w:lvl>
    <w:lvl w:ilvl="2" w:tplc="23605ED4">
      <w:start w:val="1"/>
      <w:numFmt w:val="bullet"/>
      <w:lvlText w:val=""/>
      <w:lvlJc w:val="left"/>
      <w:pPr>
        <w:ind w:left="2160" w:hanging="360"/>
      </w:pPr>
      <w:rPr>
        <w:rFonts w:ascii="Wingdings" w:hAnsi="Wingdings" w:hint="default"/>
      </w:rPr>
    </w:lvl>
    <w:lvl w:ilvl="3" w:tplc="897A8852">
      <w:start w:val="1"/>
      <w:numFmt w:val="bullet"/>
      <w:lvlText w:val=""/>
      <w:lvlJc w:val="left"/>
      <w:pPr>
        <w:ind w:left="2880" w:hanging="360"/>
      </w:pPr>
      <w:rPr>
        <w:rFonts w:ascii="Symbol" w:hAnsi="Symbol" w:hint="default"/>
      </w:rPr>
    </w:lvl>
    <w:lvl w:ilvl="4" w:tplc="15583050">
      <w:start w:val="1"/>
      <w:numFmt w:val="bullet"/>
      <w:lvlText w:val="o"/>
      <w:lvlJc w:val="left"/>
      <w:pPr>
        <w:ind w:left="3600" w:hanging="360"/>
      </w:pPr>
      <w:rPr>
        <w:rFonts w:ascii="Courier New" w:hAnsi="Courier New" w:hint="default"/>
      </w:rPr>
    </w:lvl>
    <w:lvl w:ilvl="5" w:tplc="ED849678">
      <w:start w:val="1"/>
      <w:numFmt w:val="bullet"/>
      <w:lvlText w:val=""/>
      <w:lvlJc w:val="left"/>
      <w:pPr>
        <w:ind w:left="4320" w:hanging="360"/>
      </w:pPr>
      <w:rPr>
        <w:rFonts w:ascii="Wingdings" w:hAnsi="Wingdings" w:hint="default"/>
      </w:rPr>
    </w:lvl>
    <w:lvl w:ilvl="6" w:tplc="1546A6A6">
      <w:start w:val="1"/>
      <w:numFmt w:val="bullet"/>
      <w:lvlText w:val=""/>
      <w:lvlJc w:val="left"/>
      <w:pPr>
        <w:ind w:left="5040" w:hanging="360"/>
      </w:pPr>
      <w:rPr>
        <w:rFonts w:ascii="Symbol" w:hAnsi="Symbol" w:hint="default"/>
      </w:rPr>
    </w:lvl>
    <w:lvl w:ilvl="7" w:tplc="A77CD944">
      <w:start w:val="1"/>
      <w:numFmt w:val="bullet"/>
      <w:lvlText w:val="o"/>
      <w:lvlJc w:val="left"/>
      <w:pPr>
        <w:ind w:left="5760" w:hanging="360"/>
      </w:pPr>
      <w:rPr>
        <w:rFonts w:ascii="Courier New" w:hAnsi="Courier New" w:hint="default"/>
      </w:rPr>
    </w:lvl>
    <w:lvl w:ilvl="8" w:tplc="9ABA3988">
      <w:start w:val="1"/>
      <w:numFmt w:val="bullet"/>
      <w:lvlText w:val=""/>
      <w:lvlJc w:val="left"/>
      <w:pPr>
        <w:ind w:left="6480" w:hanging="360"/>
      </w:pPr>
      <w:rPr>
        <w:rFonts w:ascii="Wingdings" w:hAnsi="Wingdings" w:hint="default"/>
      </w:rPr>
    </w:lvl>
  </w:abstractNum>
  <w:abstractNum w:abstractNumId="15" w15:restartNumberingAfterBreak="0">
    <w:nsid w:val="6EAC7D95"/>
    <w:multiLevelType w:val="hybridMultilevel"/>
    <w:tmpl w:val="37E4784E"/>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6" w15:restartNumberingAfterBreak="0">
    <w:nsid w:val="78897FC4"/>
    <w:multiLevelType w:val="hybridMultilevel"/>
    <w:tmpl w:val="931413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7AAB4F39"/>
    <w:multiLevelType w:val="hybridMultilevel"/>
    <w:tmpl w:val="A46437E6"/>
    <w:lvl w:ilvl="0" w:tplc="A17C8DB4">
      <w:numFmt w:val="bullet"/>
      <w:lvlText w:val="-"/>
      <w:lvlJc w:val="left"/>
      <w:pPr>
        <w:ind w:left="360" w:hanging="360"/>
      </w:pPr>
      <w:rPr>
        <w:rFonts w:ascii="Times New Roman" w:eastAsiaTheme="minorHAnsi" w:hAnsi="Times New Roman"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750850609">
    <w:abstractNumId w:val="14"/>
  </w:num>
  <w:num w:numId="2" w16cid:durableId="1466506581">
    <w:abstractNumId w:val="5"/>
  </w:num>
  <w:num w:numId="3" w16cid:durableId="1322730558">
    <w:abstractNumId w:val="3"/>
  </w:num>
  <w:num w:numId="4" w16cid:durableId="1942108628">
    <w:abstractNumId w:val="11"/>
  </w:num>
  <w:num w:numId="5" w16cid:durableId="1781683137">
    <w:abstractNumId w:val="8"/>
  </w:num>
  <w:num w:numId="6" w16cid:durableId="765882227">
    <w:abstractNumId w:val="1"/>
  </w:num>
  <w:num w:numId="7" w16cid:durableId="801651216">
    <w:abstractNumId w:val="16"/>
  </w:num>
  <w:num w:numId="8" w16cid:durableId="485055503">
    <w:abstractNumId w:val="6"/>
  </w:num>
  <w:num w:numId="9" w16cid:durableId="2037346804">
    <w:abstractNumId w:val="17"/>
  </w:num>
  <w:num w:numId="10" w16cid:durableId="1141919260">
    <w:abstractNumId w:val="15"/>
  </w:num>
  <w:num w:numId="11" w16cid:durableId="583491152">
    <w:abstractNumId w:val="12"/>
  </w:num>
  <w:num w:numId="12" w16cid:durableId="862783904">
    <w:abstractNumId w:val="9"/>
  </w:num>
  <w:num w:numId="13" w16cid:durableId="273439385">
    <w:abstractNumId w:val="0"/>
  </w:num>
  <w:num w:numId="14" w16cid:durableId="1687439495">
    <w:abstractNumId w:val="13"/>
  </w:num>
  <w:num w:numId="15" w16cid:durableId="702436481">
    <w:abstractNumId w:val="10"/>
  </w:num>
  <w:num w:numId="16" w16cid:durableId="2138719511">
    <w:abstractNumId w:val="4"/>
  </w:num>
  <w:num w:numId="17" w16cid:durableId="1417939486">
    <w:abstractNumId w:val="2"/>
  </w:num>
  <w:num w:numId="18" w16cid:durableId="190050944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2D5"/>
    <w:rsid w:val="000001BD"/>
    <w:rsid w:val="00002EB4"/>
    <w:rsid w:val="00004C5C"/>
    <w:rsid w:val="000062CE"/>
    <w:rsid w:val="0000674E"/>
    <w:rsid w:val="00006959"/>
    <w:rsid w:val="00007713"/>
    <w:rsid w:val="00010715"/>
    <w:rsid w:val="0001113E"/>
    <w:rsid w:val="00012761"/>
    <w:rsid w:val="00012A68"/>
    <w:rsid w:val="000134DB"/>
    <w:rsid w:val="000147E8"/>
    <w:rsid w:val="0001511F"/>
    <w:rsid w:val="0001799B"/>
    <w:rsid w:val="0002325A"/>
    <w:rsid w:val="00024B33"/>
    <w:rsid w:val="000257E6"/>
    <w:rsid w:val="00026158"/>
    <w:rsid w:val="00026DF7"/>
    <w:rsid w:val="000270E9"/>
    <w:rsid w:val="00027549"/>
    <w:rsid w:val="00027D30"/>
    <w:rsid w:val="00030D1C"/>
    <w:rsid w:val="0003171D"/>
    <w:rsid w:val="00032686"/>
    <w:rsid w:val="000326E6"/>
    <w:rsid w:val="0003295B"/>
    <w:rsid w:val="00034555"/>
    <w:rsid w:val="00035370"/>
    <w:rsid w:val="00040233"/>
    <w:rsid w:val="00042D55"/>
    <w:rsid w:val="00042FB3"/>
    <w:rsid w:val="00043266"/>
    <w:rsid w:val="00043277"/>
    <w:rsid w:val="00046068"/>
    <w:rsid w:val="00046663"/>
    <w:rsid w:val="0005006F"/>
    <w:rsid w:val="0005048F"/>
    <w:rsid w:val="00050A7F"/>
    <w:rsid w:val="00054525"/>
    <w:rsid w:val="00055D14"/>
    <w:rsid w:val="000566AA"/>
    <w:rsid w:val="0005770A"/>
    <w:rsid w:val="000606D3"/>
    <w:rsid w:val="00061742"/>
    <w:rsid w:val="00062227"/>
    <w:rsid w:val="00064469"/>
    <w:rsid w:val="00065CE1"/>
    <w:rsid w:val="000666C5"/>
    <w:rsid w:val="000674A8"/>
    <w:rsid w:val="00067C0E"/>
    <w:rsid w:val="00067F3A"/>
    <w:rsid w:val="00070313"/>
    <w:rsid w:val="0007044F"/>
    <w:rsid w:val="00071A10"/>
    <w:rsid w:val="000736E8"/>
    <w:rsid w:val="0007374C"/>
    <w:rsid w:val="000747A2"/>
    <w:rsid w:val="000749F2"/>
    <w:rsid w:val="00077103"/>
    <w:rsid w:val="0007759F"/>
    <w:rsid w:val="000805DB"/>
    <w:rsid w:val="00081645"/>
    <w:rsid w:val="00081ABA"/>
    <w:rsid w:val="00085F45"/>
    <w:rsid w:val="00086EB7"/>
    <w:rsid w:val="0009146B"/>
    <w:rsid w:val="0009168E"/>
    <w:rsid w:val="000918BD"/>
    <w:rsid w:val="00091E71"/>
    <w:rsid w:val="000936AD"/>
    <w:rsid w:val="0009428E"/>
    <w:rsid w:val="00094CE9"/>
    <w:rsid w:val="00097D85"/>
    <w:rsid w:val="000A061B"/>
    <w:rsid w:val="000A0A3F"/>
    <w:rsid w:val="000A2CD8"/>
    <w:rsid w:val="000A5F26"/>
    <w:rsid w:val="000A7B0E"/>
    <w:rsid w:val="000B323B"/>
    <w:rsid w:val="000B3D78"/>
    <w:rsid w:val="000B4079"/>
    <w:rsid w:val="000B48E7"/>
    <w:rsid w:val="000B4F32"/>
    <w:rsid w:val="000B6171"/>
    <w:rsid w:val="000B7FAC"/>
    <w:rsid w:val="000C6EB2"/>
    <w:rsid w:val="000D0731"/>
    <w:rsid w:val="000D3311"/>
    <w:rsid w:val="000D5BFB"/>
    <w:rsid w:val="000D62EF"/>
    <w:rsid w:val="000D6932"/>
    <w:rsid w:val="000D6F86"/>
    <w:rsid w:val="000D7703"/>
    <w:rsid w:val="000D7E70"/>
    <w:rsid w:val="000E0C7C"/>
    <w:rsid w:val="000E35E5"/>
    <w:rsid w:val="000E3BBA"/>
    <w:rsid w:val="000E4D74"/>
    <w:rsid w:val="000E50B5"/>
    <w:rsid w:val="000E5888"/>
    <w:rsid w:val="000F1209"/>
    <w:rsid w:val="000F2DCC"/>
    <w:rsid w:val="000F36A4"/>
    <w:rsid w:val="000F394E"/>
    <w:rsid w:val="000F5582"/>
    <w:rsid w:val="000F5755"/>
    <w:rsid w:val="000F5911"/>
    <w:rsid w:val="000F73F4"/>
    <w:rsid w:val="000F7748"/>
    <w:rsid w:val="0010094F"/>
    <w:rsid w:val="001011E8"/>
    <w:rsid w:val="0010303F"/>
    <w:rsid w:val="001053AF"/>
    <w:rsid w:val="00106151"/>
    <w:rsid w:val="00110EB0"/>
    <w:rsid w:val="00115442"/>
    <w:rsid w:val="00116F6F"/>
    <w:rsid w:val="00126B1B"/>
    <w:rsid w:val="001302C8"/>
    <w:rsid w:val="0013275D"/>
    <w:rsid w:val="001344A1"/>
    <w:rsid w:val="00134658"/>
    <w:rsid w:val="00134CCE"/>
    <w:rsid w:val="001356B1"/>
    <w:rsid w:val="00137BC6"/>
    <w:rsid w:val="001403DE"/>
    <w:rsid w:val="00141F13"/>
    <w:rsid w:val="00142B45"/>
    <w:rsid w:val="00142EDD"/>
    <w:rsid w:val="0014399F"/>
    <w:rsid w:val="001441DE"/>
    <w:rsid w:val="00144B47"/>
    <w:rsid w:val="001455B1"/>
    <w:rsid w:val="00145D68"/>
    <w:rsid w:val="0014606B"/>
    <w:rsid w:val="00146470"/>
    <w:rsid w:val="00147C47"/>
    <w:rsid w:val="001551E3"/>
    <w:rsid w:val="0015591E"/>
    <w:rsid w:val="00155C58"/>
    <w:rsid w:val="00156FD0"/>
    <w:rsid w:val="0015709B"/>
    <w:rsid w:val="001574B8"/>
    <w:rsid w:val="001613D0"/>
    <w:rsid w:val="0016284F"/>
    <w:rsid w:val="0016315E"/>
    <w:rsid w:val="00164A00"/>
    <w:rsid w:val="00166887"/>
    <w:rsid w:val="0017078A"/>
    <w:rsid w:val="0017156E"/>
    <w:rsid w:val="0017441A"/>
    <w:rsid w:val="00175C3A"/>
    <w:rsid w:val="001807D8"/>
    <w:rsid w:val="001810D1"/>
    <w:rsid w:val="00182B73"/>
    <w:rsid w:val="00182F97"/>
    <w:rsid w:val="00183B67"/>
    <w:rsid w:val="001843EE"/>
    <w:rsid w:val="00184736"/>
    <w:rsid w:val="00187226"/>
    <w:rsid w:val="0019009A"/>
    <w:rsid w:val="00191503"/>
    <w:rsid w:val="00192130"/>
    <w:rsid w:val="00192BF8"/>
    <w:rsid w:val="0019383A"/>
    <w:rsid w:val="0019531D"/>
    <w:rsid w:val="00195D16"/>
    <w:rsid w:val="001A32BF"/>
    <w:rsid w:val="001A3BE3"/>
    <w:rsid w:val="001A5BB4"/>
    <w:rsid w:val="001A62EE"/>
    <w:rsid w:val="001A65B8"/>
    <w:rsid w:val="001A7828"/>
    <w:rsid w:val="001A7B64"/>
    <w:rsid w:val="001A7E53"/>
    <w:rsid w:val="001B05BF"/>
    <w:rsid w:val="001B33E9"/>
    <w:rsid w:val="001B3D03"/>
    <w:rsid w:val="001B3F5F"/>
    <w:rsid w:val="001B4F4C"/>
    <w:rsid w:val="001B64CF"/>
    <w:rsid w:val="001B7062"/>
    <w:rsid w:val="001B74B8"/>
    <w:rsid w:val="001C22D9"/>
    <w:rsid w:val="001C2609"/>
    <w:rsid w:val="001C260E"/>
    <w:rsid w:val="001C432E"/>
    <w:rsid w:val="001C4DD8"/>
    <w:rsid w:val="001D09E1"/>
    <w:rsid w:val="001D1168"/>
    <w:rsid w:val="001D229C"/>
    <w:rsid w:val="001D2369"/>
    <w:rsid w:val="001D25B7"/>
    <w:rsid w:val="001D2F17"/>
    <w:rsid w:val="001D3868"/>
    <w:rsid w:val="001D54FC"/>
    <w:rsid w:val="001D79AC"/>
    <w:rsid w:val="001E0D78"/>
    <w:rsid w:val="001E14E2"/>
    <w:rsid w:val="001E31F8"/>
    <w:rsid w:val="001E5C43"/>
    <w:rsid w:val="001E62C7"/>
    <w:rsid w:val="001E6327"/>
    <w:rsid w:val="001E6B70"/>
    <w:rsid w:val="001E7CD9"/>
    <w:rsid w:val="001F01E9"/>
    <w:rsid w:val="001F3E28"/>
    <w:rsid w:val="001F419A"/>
    <w:rsid w:val="001F7600"/>
    <w:rsid w:val="001F784F"/>
    <w:rsid w:val="0020276D"/>
    <w:rsid w:val="00202FBE"/>
    <w:rsid w:val="00203E7C"/>
    <w:rsid w:val="00206C4F"/>
    <w:rsid w:val="00207A3E"/>
    <w:rsid w:val="002105A1"/>
    <w:rsid w:val="002127C9"/>
    <w:rsid w:val="00214A63"/>
    <w:rsid w:val="00216C16"/>
    <w:rsid w:val="00217BB3"/>
    <w:rsid w:val="00222C5C"/>
    <w:rsid w:val="00223621"/>
    <w:rsid w:val="00223743"/>
    <w:rsid w:val="00223F60"/>
    <w:rsid w:val="0022633A"/>
    <w:rsid w:val="00226CF7"/>
    <w:rsid w:val="00230927"/>
    <w:rsid w:val="00230AFB"/>
    <w:rsid w:val="002329A9"/>
    <w:rsid w:val="00232AA7"/>
    <w:rsid w:val="0023423D"/>
    <w:rsid w:val="002350CB"/>
    <w:rsid w:val="00236816"/>
    <w:rsid w:val="002374D1"/>
    <w:rsid w:val="002428C9"/>
    <w:rsid w:val="00245FFD"/>
    <w:rsid w:val="0024690C"/>
    <w:rsid w:val="0025050F"/>
    <w:rsid w:val="0025123B"/>
    <w:rsid w:val="002552A8"/>
    <w:rsid w:val="00255813"/>
    <w:rsid w:val="00256929"/>
    <w:rsid w:val="002578AD"/>
    <w:rsid w:val="00257B66"/>
    <w:rsid w:val="002619CE"/>
    <w:rsid w:val="002631B3"/>
    <w:rsid w:val="0026426C"/>
    <w:rsid w:val="00265130"/>
    <w:rsid w:val="0026585D"/>
    <w:rsid w:val="00267607"/>
    <w:rsid w:val="00271818"/>
    <w:rsid w:val="002739B5"/>
    <w:rsid w:val="002743AF"/>
    <w:rsid w:val="00274CCC"/>
    <w:rsid w:val="00275122"/>
    <w:rsid w:val="00275313"/>
    <w:rsid w:val="00275B6E"/>
    <w:rsid w:val="00276F43"/>
    <w:rsid w:val="002774F4"/>
    <w:rsid w:val="00277B95"/>
    <w:rsid w:val="00280050"/>
    <w:rsid w:val="002801F8"/>
    <w:rsid w:val="00281371"/>
    <w:rsid w:val="0028204E"/>
    <w:rsid w:val="0028326D"/>
    <w:rsid w:val="00283FFF"/>
    <w:rsid w:val="002869ED"/>
    <w:rsid w:val="00286D2E"/>
    <w:rsid w:val="002871FB"/>
    <w:rsid w:val="002879C5"/>
    <w:rsid w:val="00287C76"/>
    <w:rsid w:val="00291908"/>
    <w:rsid w:val="002923A8"/>
    <w:rsid w:val="002961C3"/>
    <w:rsid w:val="00296D66"/>
    <w:rsid w:val="0029709C"/>
    <w:rsid w:val="002A4D44"/>
    <w:rsid w:val="002A56BC"/>
    <w:rsid w:val="002A6F34"/>
    <w:rsid w:val="002A7362"/>
    <w:rsid w:val="002B00B0"/>
    <w:rsid w:val="002B0204"/>
    <w:rsid w:val="002B12EB"/>
    <w:rsid w:val="002B4BF8"/>
    <w:rsid w:val="002B4EE7"/>
    <w:rsid w:val="002B68B5"/>
    <w:rsid w:val="002B70C8"/>
    <w:rsid w:val="002B7704"/>
    <w:rsid w:val="002C4306"/>
    <w:rsid w:val="002C4B40"/>
    <w:rsid w:val="002C50DE"/>
    <w:rsid w:val="002C52E0"/>
    <w:rsid w:val="002C58AC"/>
    <w:rsid w:val="002C653A"/>
    <w:rsid w:val="002C6C97"/>
    <w:rsid w:val="002D00CC"/>
    <w:rsid w:val="002D0116"/>
    <w:rsid w:val="002D0DD0"/>
    <w:rsid w:val="002D5C46"/>
    <w:rsid w:val="002D6762"/>
    <w:rsid w:val="002D6D5E"/>
    <w:rsid w:val="002E0462"/>
    <w:rsid w:val="002E100F"/>
    <w:rsid w:val="002E195C"/>
    <w:rsid w:val="002E1BAA"/>
    <w:rsid w:val="002E4553"/>
    <w:rsid w:val="002E65A9"/>
    <w:rsid w:val="002E6F17"/>
    <w:rsid w:val="002E798B"/>
    <w:rsid w:val="002F00EF"/>
    <w:rsid w:val="002F0246"/>
    <w:rsid w:val="002F03C6"/>
    <w:rsid w:val="002F08B5"/>
    <w:rsid w:val="002F1019"/>
    <w:rsid w:val="002F2B1B"/>
    <w:rsid w:val="002F34E2"/>
    <w:rsid w:val="002F3794"/>
    <w:rsid w:val="002F3EF9"/>
    <w:rsid w:val="002F4CA3"/>
    <w:rsid w:val="002F57C6"/>
    <w:rsid w:val="002F5ED5"/>
    <w:rsid w:val="002F682B"/>
    <w:rsid w:val="003006D2"/>
    <w:rsid w:val="00300EA7"/>
    <w:rsid w:val="00301D87"/>
    <w:rsid w:val="003045C7"/>
    <w:rsid w:val="00304873"/>
    <w:rsid w:val="00304A51"/>
    <w:rsid w:val="00310DA2"/>
    <w:rsid w:val="003114A0"/>
    <w:rsid w:val="00311CB9"/>
    <w:rsid w:val="00311DBC"/>
    <w:rsid w:val="00311ECF"/>
    <w:rsid w:val="00314224"/>
    <w:rsid w:val="00314D25"/>
    <w:rsid w:val="00316A52"/>
    <w:rsid w:val="00317F8F"/>
    <w:rsid w:val="003207EE"/>
    <w:rsid w:val="00324437"/>
    <w:rsid w:val="00324EF2"/>
    <w:rsid w:val="00324F79"/>
    <w:rsid w:val="00325ED5"/>
    <w:rsid w:val="00326F95"/>
    <w:rsid w:val="00327A4C"/>
    <w:rsid w:val="00330780"/>
    <w:rsid w:val="0033131C"/>
    <w:rsid w:val="003322C1"/>
    <w:rsid w:val="00332745"/>
    <w:rsid w:val="0033317A"/>
    <w:rsid w:val="00333940"/>
    <w:rsid w:val="00335039"/>
    <w:rsid w:val="00335377"/>
    <w:rsid w:val="00336425"/>
    <w:rsid w:val="003376F3"/>
    <w:rsid w:val="00340582"/>
    <w:rsid w:val="00342860"/>
    <w:rsid w:val="00343B8A"/>
    <w:rsid w:val="003453BF"/>
    <w:rsid w:val="003457FB"/>
    <w:rsid w:val="0034596C"/>
    <w:rsid w:val="00346474"/>
    <w:rsid w:val="00346E19"/>
    <w:rsid w:val="00346E3F"/>
    <w:rsid w:val="00347282"/>
    <w:rsid w:val="0035047E"/>
    <w:rsid w:val="00352C0D"/>
    <w:rsid w:val="00352D13"/>
    <w:rsid w:val="00352E23"/>
    <w:rsid w:val="00355247"/>
    <w:rsid w:val="00355709"/>
    <w:rsid w:val="00356342"/>
    <w:rsid w:val="003618A2"/>
    <w:rsid w:val="00362079"/>
    <w:rsid w:val="00362EC3"/>
    <w:rsid w:val="00363F7F"/>
    <w:rsid w:val="00364F61"/>
    <w:rsid w:val="00365A32"/>
    <w:rsid w:val="0036636B"/>
    <w:rsid w:val="00367354"/>
    <w:rsid w:val="003675C6"/>
    <w:rsid w:val="00367618"/>
    <w:rsid w:val="00371264"/>
    <w:rsid w:val="00371710"/>
    <w:rsid w:val="00372843"/>
    <w:rsid w:val="00373427"/>
    <w:rsid w:val="00373C0A"/>
    <w:rsid w:val="00377847"/>
    <w:rsid w:val="00381294"/>
    <w:rsid w:val="003812BE"/>
    <w:rsid w:val="00381919"/>
    <w:rsid w:val="003825CB"/>
    <w:rsid w:val="00382D2E"/>
    <w:rsid w:val="0038707B"/>
    <w:rsid w:val="003876DC"/>
    <w:rsid w:val="003912BB"/>
    <w:rsid w:val="00392C86"/>
    <w:rsid w:val="0039439A"/>
    <w:rsid w:val="00394A92"/>
    <w:rsid w:val="0039624C"/>
    <w:rsid w:val="0039625A"/>
    <w:rsid w:val="00396333"/>
    <w:rsid w:val="003978BD"/>
    <w:rsid w:val="003A0270"/>
    <w:rsid w:val="003A06DB"/>
    <w:rsid w:val="003A4FFC"/>
    <w:rsid w:val="003A5C5E"/>
    <w:rsid w:val="003A65F6"/>
    <w:rsid w:val="003A6B82"/>
    <w:rsid w:val="003B05B2"/>
    <w:rsid w:val="003B3A96"/>
    <w:rsid w:val="003B3EB9"/>
    <w:rsid w:val="003B5AE9"/>
    <w:rsid w:val="003B5E2D"/>
    <w:rsid w:val="003B6184"/>
    <w:rsid w:val="003C0089"/>
    <w:rsid w:val="003C019B"/>
    <w:rsid w:val="003C108A"/>
    <w:rsid w:val="003C171B"/>
    <w:rsid w:val="003C290C"/>
    <w:rsid w:val="003C4A13"/>
    <w:rsid w:val="003C619C"/>
    <w:rsid w:val="003C71EA"/>
    <w:rsid w:val="003C7601"/>
    <w:rsid w:val="003D1358"/>
    <w:rsid w:val="003D2E9E"/>
    <w:rsid w:val="003D3497"/>
    <w:rsid w:val="003D3DEC"/>
    <w:rsid w:val="003D784C"/>
    <w:rsid w:val="003E1071"/>
    <w:rsid w:val="003E14A8"/>
    <w:rsid w:val="003E1601"/>
    <w:rsid w:val="003E25CA"/>
    <w:rsid w:val="003E2A6B"/>
    <w:rsid w:val="003F0C06"/>
    <w:rsid w:val="003F1B87"/>
    <w:rsid w:val="003F3287"/>
    <w:rsid w:val="003F3E42"/>
    <w:rsid w:val="003F45E2"/>
    <w:rsid w:val="0040172F"/>
    <w:rsid w:val="0040205A"/>
    <w:rsid w:val="00402DE6"/>
    <w:rsid w:val="00404C66"/>
    <w:rsid w:val="004055E8"/>
    <w:rsid w:val="00411F9F"/>
    <w:rsid w:val="00414257"/>
    <w:rsid w:val="004154F2"/>
    <w:rsid w:val="004203BF"/>
    <w:rsid w:val="004207D7"/>
    <w:rsid w:val="00420831"/>
    <w:rsid w:val="00420E00"/>
    <w:rsid w:val="0042353F"/>
    <w:rsid w:val="004259D1"/>
    <w:rsid w:val="004306E5"/>
    <w:rsid w:val="00431A22"/>
    <w:rsid w:val="00432F21"/>
    <w:rsid w:val="00432F98"/>
    <w:rsid w:val="004333BC"/>
    <w:rsid w:val="004343F6"/>
    <w:rsid w:val="00435E7B"/>
    <w:rsid w:val="00436221"/>
    <w:rsid w:val="00436413"/>
    <w:rsid w:val="00436A76"/>
    <w:rsid w:val="00437D6A"/>
    <w:rsid w:val="00442894"/>
    <w:rsid w:val="00443343"/>
    <w:rsid w:val="004438F9"/>
    <w:rsid w:val="00445674"/>
    <w:rsid w:val="00445A8D"/>
    <w:rsid w:val="00447F82"/>
    <w:rsid w:val="00452A89"/>
    <w:rsid w:val="00453DEB"/>
    <w:rsid w:val="004541C6"/>
    <w:rsid w:val="004549E0"/>
    <w:rsid w:val="00456230"/>
    <w:rsid w:val="0045740F"/>
    <w:rsid w:val="004600A4"/>
    <w:rsid w:val="00461723"/>
    <w:rsid w:val="00462848"/>
    <w:rsid w:val="0046447A"/>
    <w:rsid w:val="004661E6"/>
    <w:rsid w:val="00466C43"/>
    <w:rsid w:val="004701DB"/>
    <w:rsid w:val="00471478"/>
    <w:rsid w:val="00472D85"/>
    <w:rsid w:val="004751EC"/>
    <w:rsid w:val="00476877"/>
    <w:rsid w:val="004821B1"/>
    <w:rsid w:val="0048284C"/>
    <w:rsid w:val="00483BCC"/>
    <w:rsid w:val="00484D36"/>
    <w:rsid w:val="0048686D"/>
    <w:rsid w:val="0049027F"/>
    <w:rsid w:val="00490CC9"/>
    <w:rsid w:val="00491595"/>
    <w:rsid w:val="004938AD"/>
    <w:rsid w:val="004943D0"/>
    <w:rsid w:val="0049600A"/>
    <w:rsid w:val="00497146"/>
    <w:rsid w:val="004A0EB8"/>
    <w:rsid w:val="004A0FDD"/>
    <w:rsid w:val="004A174B"/>
    <w:rsid w:val="004A1EC4"/>
    <w:rsid w:val="004A3A67"/>
    <w:rsid w:val="004A4CFA"/>
    <w:rsid w:val="004A4FC1"/>
    <w:rsid w:val="004A5C13"/>
    <w:rsid w:val="004B01AF"/>
    <w:rsid w:val="004B0842"/>
    <w:rsid w:val="004B1E19"/>
    <w:rsid w:val="004B3253"/>
    <w:rsid w:val="004B3B0B"/>
    <w:rsid w:val="004B3CC8"/>
    <w:rsid w:val="004B4AB0"/>
    <w:rsid w:val="004B61A0"/>
    <w:rsid w:val="004B674E"/>
    <w:rsid w:val="004B7CDC"/>
    <w:rsid w:val="004B7E3F"/>
    <w:rsid w:val="004C030B"/>
    <w:rsid w:val="004C0B7F"/>
    <w:rsid w:val="004C16D8"/>
    <w:rsid w:val="004C184F"/>
    <w:rsid w:val="004C19EF"/>
    <w:rsid w:val="004C3BDD"/>
    <w:rsid w:val="004C6290"/>
    <w:rsid w:val="004C66C5"/>
    <w:rsid w:val="004C6C5B"/>
    <w:rsid w:val="004D1876"/>
    <w:rsid w:val="004D2131"/>
    <w:rsid w:val="004D2385"/>
    <w:rsid w:val="004D28DA"/>
    <w:rsid w:val="004D2AEA"/>
    <w:rsid w:val="004D3355"/>
    <w:rsid w:val="004D7200"/>
    <w:rsid w:val="004D7865"/>
    <w:rsid w:val="004E0287"/>
    <w:rsid w:val="004E23CA"/>
    <w:rsid w:val="004E2797"/>
    <w:rsid w:val="004E31BF"/>
    <w:rsid w:val="004E39A1"/>
    <w:rsid w:val="004E4B6C"/>
    <w:rsid w:val="004E5468"/>
    <w:rsid w:val="004E64D8"/>
    <w:rsid w:val="004E78B5"/>
    <w:rsid w:val="004E7B04"/>
    <w:rsid w:val="004F051C"/>
    <w:rsid w:val="004F2671"/>
    <w:rsid w:val="004F5995"/>
    <w:rsid w:val="004F6E77"/>
    <w:rsid w:val="004F7755"/>
    <w:rsid w:val="004F794D"/>
    <w:rsid w:val="004F79B7"/>
    <w:rsid w:val="004F7F79"/>
    <w:rsid w:val="00502070"/>
    <w:rsid w:val="00502664"/>
    <w:rsid w:val="00502946"/>
    <w:rsid w:val="00505A53"/>
    <w:rsid w:val="00507D1D"/>
    <w:rsid w:val="005103F4"/>
    <w:rsid w:val="00510CFE"/>
    <w:rsid w:val="005111EA"/>
    <w:rsid w:val="0051143B"/>
    <w:rsid w:val="00515F9E"/>
    <w:rsid w:val="0051607B"/>
    <w:rsid w:val="00521223"/>
    <w:rsid w:val="005215C5"/>
    <w:rsid w:val="00521A18"/>
    <w:rsid w:val="005220FD"/>
    <w:rsid w:val="0052226C"/>
    <w:rsid w:val="0052296C"/>
    <w:rsid w:val="00522D16"/>
    <w:rsid w:val="00524A91"/>
    <w:rsid w:val="00526713"/>
    <w:rsid w:val="00527871"/>
    <w:rsid w:val="00531018"/>
    <w:rsid w:val="00531243"/>
    <w:rsid w:val="005322A1"/>
    <w:rsid w:val="00533C4C"/>
    <w:rsid w:val="005373C3"/>
    <w:rsid w:val="00540BE1"/>
    <w:rsid w:val="00543F97"/>
    <w:rsid w:val="005440EC"/>
    <w:rsid w:val="00546ADB"/>
    <w:rsid w:val="00550937"/>
    <w:rsid w:val="00550A0C"/>
    <w:rsid w:val="00554081"/>
    <w:rsid w:val="00554B44"/>
    <w:rsid w:val="0055657C"/>
    <w:rsid w:val="005578E8"/>
    <w:rsid w:val="005618A5"/>
    <w:rsid w:val="00562BDF"/>
    <w:rsid w:val="00563199"/>
    <w:rsid w:val="00565239"/>
    <w:rsid w:val="005663C8"/>
    <w:rsid w:val="00571969"/>
    <w:rsid w:val="00571C5D"/>
    <w:rsid w:val="005740FB"/>
    <w:rsid w:val="0057499E"/>
    <w:rsid w:val="005756C2"/>
    <w:rsid w:val="00575A8C"/>
    <w:rsid w:val="005773C0"/>
    <w:rsid w:val="00577E4B"/>
    <w:rsid w:val="00577F9C"/>
    <w:rsid w:val="005803F7"/>
    <w:rsid w:val="005831C9"/>
    <w:rsid w:val="005839B8"/>
    <w:rsid w:val="00583F09"/>
    <w:rsid w:val="00584F4E"/>
    <w:rsid w:val="00585052"/>
    <w:rsid w:val="00585C4D"/>
    <w:rsid w:val="00593FCA"/>
    <w:rsid w:val="00595397"/>
    <w:rsid w:val="00595773"/>
    <w:rsid w:val="00596160"/>
    <w:rsid w:val="005967AB"/>
    <w:rsid w:val="00597602"/>
    <w:rsid w:val="00597DF2"/>
    <w:rsid w:val="005A0523"/>
    <w:rsid w:val="005A24AF"/>
    <w:rsid w:val="005A27CF"/>
    <w:rsid w:val="005A33EB"/>
    <w:rsid w:val="005A3678"/>
    <w:rsid w:val="005A4E16"/>
    <w:rsid w:val="005A7E5E"/>
    <w:rsid w:val="005B0E06"/>
    <w:rsid w:val="005B17CB"/>
    <w:rsid w:val="005B441A"/>
    <w:rsid w:val="005B63A4"/>
    <w:rsid w:val="005C20C7"/>
    <w:rsid w:val="005C342F"/>
    <w:rsid w:val="005C6ADF"/>
    <w:rsid w:val="005C6B4F"/>
    <w:rsid w:val="005C7281"/>
    <w:rsid w:val="005C7838"/>
    <w:rsid w:val="005D052D"/>
    <w:rsid w:val="005D08FC"/>
    <w:rsid w:val="005D0C6E"/>
    <w:rsid w:val="005D1E72"/>
    <w:rsid w:val="005D23AE"/>
    <w:rsid w:val="005D4FB4"/>
    <w:rsid w:val="005D5909"/>
    <w:rsid w:val="005D6E32"/>
    <w:rsid w:val="005D7C6B"/>
    <w:rsid w:val="005E20AD"/>
    <w:rsid w:val="005E2C43"/>
    <w:rsid w:val="005E45FE"/>
    <w:rsid w:val="005E4710"/>
    <w:rsid w:val="005E485B"/>
    <w:rsid w:val="005E5717"/>
    <w:rsid w:val="005E902F"/>
    <w:rsid w:val="005F25EC"/>
    <w:rsid w:val="005F551C"/>
    <w:rsid w:val="005F56BB"/>
    <w:rsid w:val="005F5EE0"/>
    <w:rsid w:val="00600816"/>
    <w:rsid w:val="006012F3"/>
    <w:rsid w:val="00601C56"/>
    <w:rsid w:val="006036E7"/>
    <w:rsid w:val="00603BFF"/>
    <w:rsid w:val="00605CCF"/>
    <w:rsid w:val="00606FFC"/>
    <w:rsid w:val="00611D9D"/>
    <w:rsid w:val="00611E03"/>
    <w:rsid w:val="0061243F"/>
    <w:rsid w:val="00615E88"/>
    <w:rsid w:val="00616154"/>
    <w:rsid w:val="00616301"/>
    <w:rsid w:val="006215F4"/>
    <w:rsid w:val="00622162"/>
    <w:rsid w:val="00623130"/>
    <w:rsid w:val="00624E63"/>
    <w:rsid w:val="00625815"/>
    <w:rsid w:val="00626E52"/>
    <w:rsid w:val="00627DBC"/>
    <w:rsid w:val="0063139C"/>
    <w:rsid w:val="006327A0"/>
    <w:rsid w:val="00634CA9"/>
    <w:rsid w:val="006351A4"/>
    <w:rsid w:val="00635481"/>
    <w:rsid w:val="006362A5"/>
    <w:rsid w:val="006379D6"/>
    <w:rsid w:val="00640047"/>
    <w:rsid w:val="006415AC"/>
    <w:rsid w:val="00641F42"/>
    <w:rsid w:val="006421A0"/>
    <w:rsid w:val="006433CB"/>
    <w:rsid w:val="00644940"/>
    <w:rsid w:val="00644C1F"/>
    <w:rsid w:val="006476D4"/>
    <w:rsid w:val="00647E1C"/>
    <w:rsid w:val="00652985"/>
    <w:rsid w:val="00652EF8"/>
    <w:rsid w:val="00660010"/>
    <w:rsid w:val="006622D3"/>
    <w:rsid w:val="0066315E"/>
    <w:rsid w:val="00663B3B"/>
    <w:rsid w:val="00665A2B"/>
    <w:rsid w:val="00665F63"/>
    <w:rsid w:val="0066657D"/>
    <w:rsid w:val="006666A2"/>
    <w:rsid w:val="0066689A"/>
    <w:rsid w:val="006668E1"/>
    <w:rsid w:val="00667BEB"/>
    <w:rsid w:val="00670DB7"/>
    <w:rsid w:val="00671387"/>
    <w:rsid w:val="0067236A"/>
    <w:rsid w:val="00674EF6"/>
    <w:rsid w:val="006756E1"/>
    <w:rsid w:val="00675834"/>
    <w:rsid w:val="0067655C"/>
    <w:rsid w:val="006770DD"/>
    <w:rsid w:val="00680AAC"/>
    <w:rsid w:val="006826DE"/>
    <w:rsid w:val="00683111"/>
    <w:rsid w:val="0068339B"/>
    <w:rsid w:val="006833F0"/>
    <w:rsid w:val="00684869"/>
    <w:rsid w:val="00686D87"/>
    <w:rsid w:val="006878E9"/>
    <w:rsid w:val="00687913"/>
    <w:rsid w:val="00691616"/>
    <w:rsid w:val="0069193E"/>
    <w:rsid w:val="006919DA"/>
    <w:rsid w:val="0069341C"/>
    <w:rsid w:val="0069466F"/>
    <w:rsid w:val="006969CB"/>
    <w:rsid w:val="006970DF"/>
    <w:rsid w:val="006977F7"/>
    <w:rsid w:val="00697979"/>
    <w:rsid w:val="006A06B6"/>
    <w:rsid w:val="006A0B40"/>
    <w:rsid w:val="006A1781"/>
    <w:rsid w:val="006A21EF"/>
    <w:rsid w:val="006A3972"/>
    <w:rsid w:val="006A39B0"/>
    <w:rsid w:val="006A3E21"/>
    <w:rsid w:val="006A5C9C"/>
    <w:rsid w:val="006A69FB"/>
    <w:rsid w:val="006A7549"/>
    <w:rsid w:val="006B0552"/>
    <w:rsid w:val="006B0C12"/>
    <w:rsid w:val="006B18E4"/>
    <w:rsid w:val="006B26F6"/>
    <w:rsid w:val="006B2999"/>
    <w:rsid w:val="006B2DBE"/>
    <w:rsid w:val="006B3369"/>
    <w:rsid w:val="006B5296"/>
    <w:rsid w:val="006B52AD"/>
    <w:rsid w:val="006B60BB"/>
    <w:rsid w:val="006C13C9"/>
    <w:rsid w:val="006C2B5D"/>
    <w:rsid w:val="006C6A68"/>
    <w:rsid w:val="006D036C"/>
    <w:rsid w:val="006D1BB1"/>
    <w:rsid w:val="006D228A"/>
    <w:rsid w:val="006D2F35"/>
    <w:rsid w:val="006D42B6"/>
    <w:rsid w:val="006D47C9"/>
    <w:rsid w:val="006D60D0"/>
    <w:rsid w:val="006E73E9"/>
    <w:rsid w:val="006F2164"/>
    <w:rsid w:val="006F29B9"/>
    <w:rsid w:val="006F668F"/>
    <w:rsid w:val="006F7DE4"/>
    <w:rsid w:val="00701FB0"/>
    <w:rsid w:val="00704354"/>
    <w:rsid w:val="00704433"/>
    <w:rsid w:val="0070549D"/>
    <w:rsid w:val="007057BF"/>
    <w:rsid w:val="00711E3B"/>
    <w:rsid w:val="0071551E"/>
    <w:rsid w:val="00715AEB"/>
    <w:rsid w:val="007161AB"/>
    <w:rsid w:val="0071669E"/>
    <w:rsid w:val="00716E59"/>
    <w:rsid w:val="007172CC"/>
    <w:rsid w:val="00717CB4"/>
    <w:rsid w:val="00720984"/>
    <w:rsid w:val="00721375"/>
    <w:rsid w:val="0072253C"/>
    <w:rsid w:val="00722E91"/>
    <w:rsid w:val="00723EFE"/>
    <w:rsid w:val="007245C0"/>
    <w:rsid w:val="00724EA3"/>
    <w:rsid w:val="00725F4B"/>
    <w:rsid w:val="007265FD"/>
    <w:rsid w:val="007272C2"/>
    <w:rsid w:val="00727463"/>
    <w:rsid w:val="00727FC3"/>
    <w:rsid w:val="0073045C"/>
    <w:rsid w:val="00730A8C"/>
    <w:rsid w:val="00731466"/>
    <w:rsid w:val="00732A85"/>
    <w:rsid w:val="007345F5"/>
    <w:rsid w:val="00734D8B"/>
    <w:rsid w:val="00737D5A"/>
    <w:rsid w:val="007419FE"/>
    <w:rsid w:val="00743346"/>
    <w:rsid w:val="0074345A"/>
    <w:rsid w:val="00743AA6"/>
    <w:rsid w:val="00743EBF"/>
    <w:rsid w:val="0074430D"/>
    <w:rsid w:val="00746576"/>
    <w:rsid w:val="00747083"/>
    <w:rsid w:val="00750B23"/>
    <w:rsid w:val="007513F2"/>
    <w:rsid w:val="0075547C"/>
    <w:rsid w:val="00755A83"/>
    <w:rsid w:val="00756AD4"/>
    <w:rsid w:val="00757A77"/>
    <w:rsid w:val="00760215"/>
    <w:rsid w:val="00761563"/>
    <w:rsid w:val="00761B14"/>
    <w:rsid w:val="00763483"/>
    <w:rsid w:val="00765015"/>
    <w:rsid w:val="007655BA"/>
    <w:rsid w:val="00765DDD"/>
    <w:rsid w:val="007667C1"/>
    <w:rsid w:val="00767173"/>
    <w:rsid w:val="007673D1"/>
    <w:rsid w:val="00770203"/>
    <w:rsid w:val="007704C7"/>
    <w:rsid w:val="00770C98"/>
    <w:rsid w:val="007713A3"/>
    <w:rsid w:val="0077522A"/>
    <w:rsid w:val="00775B1F"/>
    <w:rsid w:val="00777B2E"/>
    <w:rsid w:val="00780910"/>
    <w:rsid w:val="00781855"/>
    <w:rsid w:val="00781885"/>
    <w:rsid w:val="00783F58"/>
    <w:rsid w:val="0078508E"/>
    <w:rsid w:val="007867FD"/>
    <w:rsid w:val="007879E1"/>
    <w:rsid w:val="0078D43E"/>
    <w:rsid w:val="007902D7"/>
    <w:rsid w:val="0079103C"/>
    <w:rsid w:val="00791693"/>
    <w:rsid w:val="00792397"/>
    <w:rsid w:val="0079283D"/>
    <w:rsid w:val="00793485"/>
    <w:rsid w:val="00793A41"/>
    <w:rsid w:val="007948FA"/>
    <w:rsid w:val="00794E78"/>
    <w:rsid w:val="00795881"/>
    <w:rsid w:val="007959E6"/>
    <w:rsid w:val="00796293"/>
    <w:rsid w:val="00797441"/>
    <w:rsid w:val="007A0BDC"/>
    <w:rsid w:val="007A133C"/>
    <w:rsid w:val="007A2378"/>
    <w:rsid w:val="007A4836"/>
    <w:rsid w:val="007A5AC4"/>
    <w:rsid w:val="007A6619"/>
    <w:rsid w:val="007B0305"/>
    <w:rsid w:val="007B08A5"/>
    <w:rsid w:val="007B18BB"/>
    <w:rsid w:val="007B215E"/>
    <w:rsid w:val="007B261C"/>
    <w:rsid w:val="007B2B8F"/>
    <w:rsid w:val="007B58BB"/>
    <w:rsid w:val="007B62AF"/>
    <w:rsid w:val="007C0DCE"/>
    <w:rsid w:val="007C3DFE"/>
    <w:rsid w:val="007D0F31"/>
    <w:rsid w:val="007D13D7"/>
    <w:rsid w:val="007D16A3"/>
    <w:rsid w:val="007D1766"/>
    <w:rsid w:val="007D3832"/>
    <w:rsid w:val="007D4EDB"/>
    <w:rsid w:val="007D6068"/>
    <w:rsid w:val="007D6D49"/>
    <w:rsid w:val="007D7382"/>
    <w:rsid w:val="007E0D80"/>
    <w:rsid w:val="007E2097"/>
    <w:rsid w:val="007E37EA"/>
    <w:rsid w:val="007E3A37"/>
    <w:rsid w:val="007E6E04"/>
    <w:rsid w:val="007E7348"/>
    <w:rsid w:val="007E773C"/>
    <w:rsid w:val="007F01EB"/>
    <w:rsid w:val="007F2BB8"/>
    <w:rsid w:val="007F2DC4"/>
    <w:rsid w:val="007F350E"/>
    <w:rsid w:val="007F47B0"/>
    <w:rsid w:val="007F4A24"/>
    <w:rsid w:val="007F4B68"/>
    <w:rsid w:val="007F50E5"/>
    <w:rsid w:val="007F5918"/>
    <w:rsid w:val="007F5980"/>
    <w:rsid w:val="007F5A58"/>
    <w:rsid w:val="007F6AE4"/>
    <w:rsid w:val="007F6BD6"/>
    <w:rsid w:val="00800394"/>
    <w:rsid w:val="00801BCF"/>
    <w:rsid w:val="00806339"/>
    <w:rsid w:val="008074BE"/>
    <w:rsid w:val="0080762F"/>
    <w:rsid w:val="0081049D"/>
    <w:rsid w:val="00811E03"/>
    <w:rsid w:val="00812F5D"/>
    <w:rsid w:val="00813A32"/>
    <w:rsid w:val="00813B6B"/>
    <w:rsid w:val="008148CE"/>
    <w:rsid w:val="00814E78"/>
    <w:rsid w:val="0081533E"/>
    <w:rsid w:val="008160E0"/>
    <w:rsid w:val="008210D1"/>
    <w:rsid w:val="008223C0"/>
    <w:rsid w:val="0082270F"/>
    <w:rsid w:val="008245E6"/>
    <w:rsid w:val="00825AD0"/>
    <w:rsid w:val="0082637E"/>
    <w:rsid w:val="008300BA"/>
    <w:rsid w:val="00830CC1"/>
    <w:rsid w:val="0083101F"/>
    <w:rsid w:val="008312F4"/>
    <w:rsid w:val="0083180D"/>
    <w:rsid w:val="008329C7"/>
    <w:rsid w:val="00834B3C"/>
    <w:rsid w:val="00834C86"/>
    <w:rsid w:val="00835065"/>
    <w:rsid w:val="0083D708"/>
    <w:rsid w:val="00840AA2"/>
    <w:rsid w:val="008429E7"/>
    <w:rsid w:val="008438D2"/>
    <w:rsid w:val="0084414A"/>
    <w:rsid w:val="00844B39"/>
    <w:rsid w:val="00844C74"/>
    <w:rsid w:val="00844E6C"/>
    <w:rsid w:val="00845118"/>
    <w:rsid w:val="008455B2"/>
    <w:rsid w:val="0084645C"/>
    <w:rsid w:val="00851924"/>
    <w:rsid w:val="008522AC"/>
    <w:rsid w:val="008522B0"/>
    <w:rsid w:val="00852384"/>
    <w:rsid w:val="008526E8"/>
    <w:rsid w:val="00852940"/>
    <w:rsid w:val="00852A01"/>
    <w:rsid w:val="00852BFB"/>
    <w:rsid w:val="00853E4A"/>
    <w:rsid w:val="008546BE"/>
    <w:rsid w:val="00855C75"/>
    <w:rsid w:val="008568D7"/>
    <w:rsid w:val="00857E25"/>
    <w:rsid w:val="008601A7"/>
    <w:rsid w:val="0086028E"/>
    <w:rsid w:val="0086076E"/>
    <w:rsid w:val="00862415"/>
    <w:rsid w:val="00863100"/>
    <w:rsid w:val="0086567F"/>
    <w:rsid w:val="00866194"/>
    <w:rsid w:val="00871D9B"/>
    <w:rsid w:val="008737A0"/>
    <w:rsid w:val="00874A36"/>
    <w:rsid w:val="00875F8E"/>
    <w:rsid w:val="00876242"/>
    <w:rsid w:val="00877689"/>
    <w:rsid w:val="00880EB0"/>
    <w:rsid w:val="00881E82"/>
    <w:rsid w:val="00882A97"/>
    <w:rsid w:val="00883768"/>
    <w:rsid w:val="00884062"/>
    <w:rsid w:val="00884CFD"/>
    <w:rsid w:val="0088573A"/>
    <w:rsid w:val="0088647C"/>
    <w:rsid w:val="008911BE"/>
    <w:rsid w:val="00894135"/>
    <w:rsid w:val="00894EBD"/>
    <w:rsid w:val="00894ED1"/>
    <w:rsid w:val="00894F67"/>
    <w:rsid w:val="00896D9F"/>
    <w:rsid w:val="008978B0"/>
    <w:rsid w:val="008A0001"/>
    <w:rsid w:val="008A3610"/>
    <w:rsid w:val="008A6FE6"/>
    <w:rsid w:val="008B284F"/>
    <w:rsid w:val="008B73D7"/>
    <w:rsid w:val="008B741B"/>
    <w:rsid w:val="008B7E7C"/>
    <w:rsid w:val="008C0DF2"/>
    <w:rsid w:val="008C1500"/>
    <w:rsid w:val="008C2BF8"/>
    <w:rsid w:val="008C2F50"/>
    <w:rsid w:val="008C6AF9"/>
    <w:rsid w:val="008C74C9"/>
    <w:rsid w:val="008D0789"/>
    <w:rsid w:val="008D2E37"/>
    <w:rsid w:val="008D6C95"/>
    <w:rsid w:val="008D797C"/>
    <w:rsid w:val="008E03B6"/>
    <w:rsid w:val="008E07CE"/>
    <w:rsid w:val="008E08B3"/>
    <w:rsid w:val="008E206C"/>
    <w:rsid w:val="008E2263"/>
    <w:rsid w:val="008E2704"/>
    <w:rsid w:val="008E63B9"/>
    <w:rsid w:val="008E6565"/>
    <w:rsid w:val="008E68E7"/>
    <w:rsid w:val="008F1EA5"/>
    <w:rsid w:val="008F299D"/>
    <w:rsid w:val="008F436B"/>
    <w:rsid w:val="008F75F5"/>
    <w:rsid w:val="008F7627"/>
    <w:rsid w:val="00900210"/>
    <w:rsid w:val="009003E2"/>
    <w:rsid w:val="00906360"/>
    <w:rsid w:val="0090641F"/>
    <w:rsid w:val="00907300"/>
    <w:rsid w:val="00912E75"/>
    <w:rsid w:val="00913033"/>
    <w:rsid w:val="009132D5"/>
    <w:rsid w:val="00913F8C"/>
    <w:rsid w:val="009155DA"/>
    <w:rsid w:val="00915D76"/>
    <w:rsid w:val="00917DBB"/>
    <w:rsid w:val="00921A8E"/>
    <w:rsid w:val="00922D33"/>
    <w:rsid w:val="00927687"/>
    <w:rsid w:val="009276F4"/>
    <w:rsid w:val="0093047E"/>
    <w:rsid w:val="0093157D"/>
    <w:rsid w:val="00931849"/>
    <w:rsid w:val="009318E2"/>
    <w:rsid w:val="00931A59"/>
    <w:rsid w:val="00933AF7"/>
    <w:rsid w:val="00935569"/>
    <w:rsid w:val="00936668"/>
    <w:rsid w:val="00937147"/>
    <w:rsid w:val="00941AFC"/>
    <w:rsid w:val="00943585"/>
    <w:rsid w:val="009463FD"/>
    <w:rsid w:val="009467EB"/>
    <w:rsid w:val="0094702A"/>
    <w:rsid w:val="009470E4"/>
    <w:rsid w:val="00950F03"/>
    <w:rsid w:val="009511BB"/>
    <w:rsid w:val="009517BE"/>
    <w:rsid w:val="009525AE"/>
    <w:rsid w:val="00952F02"/>
    <w:rsid w:val="0095341D"/>
    <w:rsid w:val="009538A6"/>
    <w:rsid w:val="00954910"/>
    <w:rsid w:val="0095549C"/>
    <w:rsid w:val="00956357"/>
    <w:rsid w:val="00956598"/>
    <w:rsid w:val="009615A5"/>
    <w:rsid w:val="0096200E"/>
    <w:rsid w:val="0096329E"/>
    <w:rsid w:val="00964875"/>
    <w:rsid w:val="00965DB6"/>
    <w:rsid w:val="00967CA9"/>
    <w:rsid w:val="00970A69"/>
    <w:rsid w:val="00970BA8"/>
    <w:rsid w:val="00970D0F"/>
    <w:rsid w:val="00971191"/>
    <w:rsid w:val="00971B6F"/>
    <w:rsid w:val="00973752"/>
    <w:rsid w:val="00974427"/>
    <w:rsid w:val="00977634"/>
    <w:rsid w:val="00977BB7"/>
    <w:rsid w:val="009817DA"/>
    <w:rsid w:val="00981E80"/>
    <w:rsid w:val="00983383"/>
    <w:rsid w:val="00983CE7"/>
    <w:rsid w:val="00983ED7"/>
    <w:rsid w:val="00985D9D"/>
    <w:rsid w:val="009861F2"/>
    <w:rsid w:val="00990754"/>
    <w:rsid w:val="009945B7"/>
    <w:rsid w:val="00996304"/>
    <w:rsid w:val="00996AC5"/>
    <w:rsid w:val="00996E0E"/>
    <w:rsid w:val="009A207F"/>
    <w:rsid w:val="009A4AE1"/>
    <w:rsid w:val="009A4C69"/>
    <w:rsid w:val="009A5C16"/>
    <w:rsid w:val="009A66FA"/>
    <w:rsid w:val="009B1A28"/>
    <w:rsid w:val="009B348C"/>
    <w:rsid w:val="009B423E"/>
    <w:rsid w:val="009C054D"/>
    <w:rsid w:val="009C0E05"/>
    <w:rsid w:val="009C2B01"/>
    <w:rsid w:val="009C3E78"/>
    <w:rsid w:val="009C408D"/>
    <w:rsid w:val="009C4988"/>
    <w:rsid w:val="009C7953"/>
    <w:rsid w:val="009D084A"/>
    <w:rsid w:val="009D0A21"/>
    <w:rsid w:val="009D156E"/>
    <w:rsid w:val="009D475D"/>
    <w:rsid w:val="009D515B"/>
    <w:rsid w:val="009D5798"/>
    <w:rsid w:val="009E1197"/>
    <w:rsid w:val="009E11CF"/>
    <w:rsid w:val="009E150F"/>
    <w:rsid w:val="009E18C6"/>
    <w:rsid w:val="009E1B7E"/>
    <w:rsid w:val="009E235C"/>
    <w:rsid w:val="009E2A90"/>
    <w:rsid w:val="009E3790"/>
    <w:rsid w:val="009E42AC"/>
    <w:rsid w:val="009E5A41"/>
    <w:rsid w:val="009E5F96"/>
    <w:rsid w:val="009E71E5"/>
    <w:rsid w:val="009F107A"/>
    <w:rsid w:val="009F37D5"/>
    <w:rsid w:val="009F3C69"/>
    <w:rsid w:val="009F6430"/>
    <w:rsid w:val="009F6D1F"/>
    <w:rsid w:val="00A01738"/>
    <w:rsid w:val="00A01969"/>
    <w:rsid w:val="00A03ADC"/>
    <w:rsid w:val="00A04B05"/>
    <w:rsid w:val="00A05DD7"/>
    <w:rsid w:val="00A07736"/>
    <w:rsid w:val="00A07BCB"/>
    <w:rsid w:val="00A07D5F"/>
    <w:rsid w:val="00A10150"/>
    <w:rsid w:val="00A11556"/>
    <w:rsid w:val="00A123A5"/>
    <w:rsid w:val="00A1335E"/>
    <w:rsid w:val="00A141FC"/>
    <w:rsid w:val="00A1436E"/>
    <w:rsid w:val="00A1484C"/>
    <w:rsid w:val="00A1544B"/>
    <w:rsid w:val="00A15A68"/>
    <w:rsid w:val="00A16E03"/>
    <w:rsid w:val="00A20100"/>
    <w:rsid w:val="00A21E97"/>
    <w:rsid w:val="00A25260"/>
    <w:rsid w:val="00A26BB3"/>
    <w:rsid w:val="00A33224"/>
    <w:rsid w:val="00A3328B"/>
    <w:rsid w:val="00A33567"/>
    <w:rsid w:val="00A340E8"/>
    <w:rsid w:val="00A3412C"/>
    <w:rsid w:val="00A346DA"/>
    <w:rsid w:val="00A34B72"/>
    <w:rsid w:val="00A35640"/>
    <w:rsid w:val="00A35959"/>
    <w:rsid w:val="00A4073C"/>
    <w:rsid w:val="00A41C36"/>
    <w:rsid w:val="00A430FB"/>
    <w:rsid w:val="00A447A1"/>
    <w:rsid w:val="00A447A9"/>
    <w:rsid w:val="00A4523E"/>
    <w:rsid w:val="00A472F5"/>
    <w:rsid w:val="00A50A71"/>
    <w:rsid w:val="00A50E92"/>
    <w:rsid w:val="00A51709"/>
    <w:rsid w:val="00A518E5"/>
    <w:rsid w:val="00A52D8B"/>
    <w:rsid w:val="00A55765"/>
    <w:rsid w:val="00A568F9"/>
    <w:rsid w:val="00A57B92"/>
    <w:rsid w:val="00A6015C"/>
    <w:rsid w:val="00A644B3"/>
    <w:rsid w:val="00A6676B"/>
    <w:rsid w:val="00A6756F"/>
    <w:rsid w:val="00A67F25"/>
    <w:rsid w:val="00A7093B"/>
    <w:rsid w:val="00A70DA5"/>
    <w:rsid w:val="00A72DD5"/>
    <w:rsid w:val="00A731F3"/>
    <w:rsid w:val="00A73B37"/>
    <w:rsid w:val="00A73BA1"/>
    <w:rsid w:val="00A7607C"/>
    <w:rsid w:val="00A768AE"/>
    <w:rsid w:val="00A76C0D"/>
    <w:rsid w:val="00A76E81"/>
    <w:rsid w:val="00A77C52"/>
    <w:rsid w:val="00A802FA"/>
    <w:rsid w:val="00A81B0D"/>
    <w:rsid w:val="00A83D57"/>
    <w:rsid w:val="00A86525"/>
    <w:rsid w:val="00A87759"/>
    <w:rsid w:val="00A91731"/>
    <w:rsid w:val="00A91B65"/>
    <w:rsid w:val="00A9211E"/>
    <w:rsid w:val="00A929CD"/>
    <w:rsid w:val="00A93C4D"/>
    <w:rsid w:val="00A940A6"/>
    <w:rsid w:val="00A94B22"/>
    <w:rsid w:val="00A94F53"/>
    <w:rsid w:val="00A95A4E"/>
    <w:rsid w:val="00A966B0"/>
    <w:rsid w:val="00A97575"/>
    <w:rsid w:val="00AA0BFB"/>
    <w:rsid w:val="00AA176D"/>
    <w:rsid w:val="00AA1A42"/>
    <w:rsid w:val="00AA1F0F"/>
    <w:rsid w:val="00AA2D36"/>
    <w:rsid w:val="00AA5565"/>
    <w:rsid w:val="00AA66B3"/>
    <w:rsid w:val="00AA6982"/>
    <w:rsid w:val="00AA6D27"/>
    <w:rsid w:val="00AA76DD"/>
    <w:rsid w:val="00AB0985"/>
    <w:rsid w:val="00AB1482"/>
    <w:rsid w:val="00AB3331"/>
    <w:rsid w:val="00AB60AF"/>
    <w:rsid w:val="00AC18DD"/>
    <w:rsid w:val="00AC26F8"/>
    <w:rsid w:val="00AC3930"/>
    <w:rsid w:val="00AC3954"/>
    <w:rsid w:val="00AC3A16"/>
    <w:rsid w:val="00AC3F1A"/>
    <w:rsid w:val="00AC5FC8"/>
    <w:rsid w:val="00AC66F2"/>
    <w:rsid w:val="00AD0727"/>
    <w:rsid w:val="00AD2DFA"/>
    <w:rsid w:val="00AD3930"/>
    <w:rsid w:val="00AD3D33"/>
    <w:rsid w:val="00AD4173"/>
    <w:rsid w:val="00AD43B9"/>
    <w:rsid w:val="00AD6B2F"/>
    <w:rsid w:val="00AE06CD"/>
    <w:rsid w:val="00AE0FBA"/>
    <w:rsid w:val="00AE24C9"/>
    <w:rsid w:val="00AE3565"/>
    <w:rsid w:val="00AE35AA"/>
    <w:rsid w:val="00AE3B9A"/>
    <w:rsid w:val="00AE3D11"/>
    <w:rsid w:val="00AF32B6"/>
    <w:rsid w:val="00AF6CB1"/>
    <w:rsid w:val="00AF6D33"/>
    <w:rsid w:val="00B00E18"/>
    <w:rsid w:val="00B0288B"/>
    <w:rsid w:val="00B02BBE"/>
    <w:rsid w:val="00B0307B"/>
    <w:rsid w:val="00B05A97"/>
    <w:rsid w:val="00B067CE"/>
    <w:rsid w:val="00B10035"/>
    <w:rsid w:val="00B10585"/>
    <w:rsid w:val="00B11CC0"/>
    <w:rsid w:val="00B11D11"/>
    <w:rsid w:val="00B12D95"/>
    <w:rsid w:val="00B1391B"/>
    <w:rsid w:val="00B143C5"/>
    <w:rsid w:val="00B15463"/>
    <w:rsid w:val="00B20403"/>
    <w:rsid w:val="00B21D4D"/>
    <w:rsid w:val="00B224AB"/>
    <w:rsid w:val="00B24541"/>
    <w:rsid w:val="00B24756"/>
    <w:rsid w:val="00B24D33"/>
    <w:rsid w:val="00B25E0C"/>
    <w:rsid w:val="00B26BF0"/>
    <w:rsid w:val="00B26E3D"/>
    <w:rsid w:val="00B27317"/>
    <w:rsid w:val="00B30DAD"/>
    <w:rsid w:val="00B31B0E"/>
    <w:rsid w:val="00B33A12"/>
    <w:rsid w:val="00B42786"/>
    <w:rsid w:val="00B42E67"/>
    <w:rsid w:val="00B42ED7"/>
    <w:rsid w:val="00B43CF1"/>
    <w:rsid w:val="00B45D11"/>
    <w:rsid w:val="00B4673D"/>
    <w:rsid w:val="00B47055"/>
    <w:rsid w:val="00B47AB0"/>
    <w:rsid w:val="00B5424A"/>
    <w:rsid w:val="00B54C24"/>
    <w:rsid w:val="00B55E84"/>
    <w:rsid w:val="00B560E6"/>
    <w:rsid w:val="00B57BA9"/>
    <w:rsid w:val="00B60289"/>
    <w:rsid w:val="00B61ECC"/>
    <w:rsid w:val="00B620BE"/>
    <w:rsid w:val="00B623FD"/>
    <w:rsid w:val="00B6287F"/>
    <w:rsid w:val="00B64007"/>
    <w:rsid w:val="00B64CA2"/>
    <w:rsid w:val="00B67FFC"/>
    <w:rsid w:val="00B70627"/>
    <w:rsid w:val="00B70E8B"/>
    <w:rsid w:val="00B71BE1"/>
    <w:rsid w:val="00B741BA"/>
    <w:rsid w:val="00B75AB3"/>
    <w:rsid w:val="00B76616"/>
    <w:rsid w:val="00B7688E"/>
    <w:rsid w:val="00B77A4E"/>
    <w:rsid w:val="00B82CA1"/>
    <w:rsid w:val="00B8595B"/>
    <w:rsid w:val="00B92CA0"/>
    <w:rsid w:val="00B9510A"/>
    <w:rsid w:val="00B978A1"/>
    <w:rsid w:val="00B97B26"/>
    <w:rsid w:val="00BA24D9"/>
    <w:rsid w:val="00BA301C"/>
    <w:rsid w:val="00BA3120"/>
    <w:rsid w:val="00BA6D4D"/>
    <w:rsid w:val="00BA6DAF"/>
    <w:rsid w:val="00BA7845"/>
    <w:rsid w:val="00BA7A16"/>
    <w:rsid w:val="00BB1560"/>
    <w:rsid w:val="00BB158C"/>
    <w:rsid w:val="00BB2711"/>
    <w:rsid w:val="00BB3BC0"/>
    <w:rsid w:val="00BB3C3C"/>
    <w:rsid w:val="00BB4ECC"/>
    <w:rsid w:val="00BB709B"/>
    <w:rsid w:val="00BB74B5"/>
    <w:rsid w:val="00BC008B"/>
    <w:rsid w:val="00BC0431"/>
    <w:rsid w:val="00BC129E"/>
    <w:rsid w:val="00BC2A14"/>
    <w:rsid w:val="00BC53BA"/>
    <w:rsid w:val="00BC669D"/>
    <w:rsid w:val="00BC6E2A"/>
    <w:rsid w:val="00BC733F"/>
    <w:rsid w:val="00BD40AF"/>
    <w:rsid w:val="00BD4B75"/>
    <w:rsid w:val="00BD7FD1"/>
    <w:rsid w:val="00BE0B7E"/>
    <w:rsid w:val="00BE310D"/>
    <w:rsid w:val="00BE3255"/>
    <w:rsid w:val="00BE4862"/>
    <w:rsid w:val="00BE5503"/>
    <w:rsid w:val="00BE5EBE"/>
    <w:rsid w:val="00BE5FB8"/>
    <w:rsid w:val="00BF01B9"/>
    <w:rsid w:val="00BF11FC"/>
    <w:rsid w:val="00BF15A5"/>
    <w:rsid w:val="00BF2A69"/>
    <w:rsid w:val="00BF38E6"/>
    <w:rsid w:val="00BF4947"/>
    <w:rsid w:val="00BF4C77"/>
    <w:rsid w:val="00C01C41"/>
    <w:rsid w:val="00C02455"/>
    <w:rsid w:val="00C0315A"/>
    <w:rsid w:val="00C036C4"/>
    <w:rsid w:val="00C04371"/>
    <w:rsid w:val="00C0459B"/>
    <w:rsid w:val="00C04AA4"/>
    <w:rsid w:val="00C058C0"/>
    <w:rsid w:val="00C0626B"/>
    <w:rsid w:val="00C06A59"/>
    <w:rsid w:val="00C07353"/>
    <w:rsid w:val="00C07776"/>
    <w:rsid w:val="00C10EFA"/>
    <w:rsid w:val="00C11632"/>
    <w:rsid w:val="00C1169E"/>
    <w:rsid w:val="00C11C8A"/>
    <w:rsid w:val="00C11EA3"/>
    <w:rsid w:val="00C129EB"/>
    <w:rsid w:val="00C12ABE"/>
    <w:rsid w:val="00C14AE1"/>
    <w:rsid w:val="00C168BB"/>
    <w:rsid w:val="00C175A9"/>
    <w:rsid w:val="00C2588E"/>
    <w:rsid w:val="00C2661C"/>
    <w:rsid w:val="00C26F31"/>
    <w:rsid w:val="00C27D6A"/>
    <w:rsid w:val="00C27E7A"/>
    <w:rsid w:val="00C3065B"/>
    <w:rsid w:val="00C30DEA"/>
    <w:rsid w:val="00C30E2C"/>
    <w:rsid w:val="00C31601"/>
    <w:rsid w:val="00C3254D"/>
    <w:rsid w:val="00C33858"/>
    <w:rsid w:val="00C362E1"/>
    <w:rsid w:val="00C36CCF"/>
    <w:rsid w:val="00C3716F"/>
    <w:rsid w:val="00C41364"/>
    <w:rsid w:val="00C41959"/>
    <w:rsid w:val="00C427E9"/>
    <w:rsid w:val="00C45503"/>
    <w:rsid w:val="00C46F20"/>
    <w:rsid w:val="00C47F7E"/>
    <w:rsid w:val="00C50C50"/>
    <w:rsid w:val="00C51497"/>
    <w:rsid w:val="00C515E2"/>
    <w:rsid w:val="00C521B5"/>
    <w:rsid w:val="00C52877"/>
    <w:rsid w:val="00C53C6B"/>
    <w:rsid w:val="00C53D07"/>
    <w:rsid w:val="00C55A9C"/>
    <w:rsid w:val="00C56BFA"/>
    <w:rsid w:val="00C5737E"/>
    <w:rsid w:val="00C60443"/>
    <w:rsid w:val="00C6175B"/>
    <w:rsid w:val="00C63A8A"/>
    <w:rsid w:val="00C66E15"/>
    <w:rsid w:val="00C66F84"/>
    <w:rsid w:val="00C70251"/>
    <w:rsid w:val="00C70A25"/>
    <w:rsid w:val="00C70B07"/>
    <w:rsid w:val="00C71A3B"/>
    <w:rsid w:val="00C71E4F"/>
    <w:rsid w:val="00C71FCC"/>
    <w:rsid w:val="00C730C6"/>
    <w:rsid w:val="00C73601"/>
    <w:rsid w:val="00C74439"/>
    <w:rsid w:val="00C759E8"/>
    <w:rsid w:val="00C7676B"/>
    <w:rsid w:val="00C7751C"/>
    <w:rsid w:val="00C77B17"/>
    <w:rsid w:val="00C81B10"/>
    <w:rsid w:val="00C83763"/>
    <w:rsid w:val="00C8420A"/>
    <w:rsid w:val="00C843A1"/>
    <w:rsid w:val="00C85033"/>
    <w:rsid w:val="00C86106"/>
    <w:rsid w:val="00C861F3"/>
    <w:rsid w:val="00C90025"/>
    <w:rsid w:val="00C90DAE"/>
    <w:rsid w:val="00C91939"/>
    <w:rsid w:val="00C91C53"/>
    <w:rsid w:val="00C92101"/>
    <w:rsid w:val="00C93A90"/>
    <w:rsid w:val="00C94664"/>
    <w:rsid w:val="00C94FA6"/>
    <w:rsid w:val="00C955E7"/>
    <w:rsid w:val="00C95C01"/>
    <w:rsid w:val="00C97FDE"/>
    <w:rsid w:val="00CA002C"/>
    <w:rsid w:val="00CA0A23"/>
    <w:rsid w:val="00CB0796"/>
    <w:rsid w:val="00CB2041"/>
    <w:rsid w:val="00CB2649"/>
    <w:rsid w:val="00CB315A"/>
    <w:rsid w:val="00CB4A4D"/>
    <w:rsid w:val="00CB5A74"/>
    <w:rsid w:val="00CB6028"/>
    <w:rsid w:val="00CB79C4"/>
    <w:rsid w:val="00CC07EE"/>
    <w:rsid w:val="00CC2462"/>
    <w:rsid w:val="00CC4CBB"/>
    <w:rsid w:val="00CC5AC2"/>
    <w:rsid w:val="00CC5F13"/>
    <w:rsid w:val="00CD0255"/>
    <w:rsid w:val="00CD04B2"/>
    <w:rsid w:val="00CD0AC7"/>
    <w:rsid w:val="00CD3853"/>
    <w:rsid w:val="00CD3968"/>
    <w:rsid w:val="00CD4347"/>
    <w:rsid w:val="00CD4DB2"/>
    <w:rsid w:val="00CD7D90"/>
    <w:rsid w:val="00CE3027"/>
    <w:rsid w:val="00CE45B4"/>
    <w:rsid w:val="00CE553D"/>
    <w:rsid w:val="00CE660A"/>
    <w:rsid w:val="00CE69A4"/>
    <w:rsid w:val="00CE7EF9"/>
    <w:rsid w:val="00CF0DFE"/>
    <w:rsid w:val="00CF3639"/>
    <w:rsid w:val="00CF41E5"/>
    <w:rsid w:val="00CF4314"/>
    <w:rsid w:val="00CF56EA"/>
    <w:rsid w:val="00CF5912"/>
    <w:rsid w:val="00CF747F"/>
    <w:rsid w:val="00D00399"/>
    <w:rsid w:val="00D003DE"/>
    <w:rsid w:val="00D02128"/>
    <w:rsid w:val="00D024BF"/>
    <w:rsid w:val="00D03B7C"/>
    <w:rsid w:val="00D06C41"/>
    <w:rsid w:val="00D103A1"/>
    <w:rsid w:val="00D11520"/>
    <w:rsid w:val="00D116B9"/>
    <w:rsid w:val="00D12292"/>
    <w:rsid w:val="00D12CD9"/>
    <w:rsid w:val="00D13752"/>
    <w:rsid w:val="00D13CDA"/>
    <w:rsid w:val="00D1493E"/>
    <w:rsid w:val="00D14D7C"/>
    <w:rsid w:val="00D16A00"/>
    <w:rsid w:val="00D179BB"/>
    <w:rsid w:val="00D17A2C"/>
    <w:rsid w:val="00D2007D"/>
    <w:rsid w:val="00D20229"/>
    <w:rsid w:val="00D213F8"/>
    <w:rsid w:val="00D215E3"/>
    <w:rsid w:val="00D2243F"/>
    <w:rsid w:val="00D226AF"/>
    <w:rsid w:val="00D22A91"/>
    <w:rsid w:val="00D22FD5"/>
    <w:rsid w:val="00D24322"/>
    <w:rsid w:val="00D25D1D"/>
    <w:rsid w:val="00D25F31"/>
    <w:rsid w:val="00D277B6"/>
    <w:rsid w:val="00D30033"/>
    <w:rsid w:val="00D31C9A"/>
    <w:rsid w:val="00D32BBE"/>
    <w:rsid w:val="00D34CF5"/>
    <w:rsid w:val="00D355DC"/>
    <w:rsid w:val="00D35DED"/>
    <w:rsid w:val="00D35ED9"/>
    <w:rsid w:val="00D37BED"/>
    <w:rsid w:val="00D4126A"/>
    <w:rsid w:val="00D41C76"/>
    <w:rsid w:val="00D42DD0"/>
    <w:rsid w:val="00D43A05"/>
    <w:rsid w:val="00D44D58"/>
    <w:rsid w:val="00D458B6"/>
    <w:rsid w:val="00D46B1A"/>
    <w:rsid w:val="00D51542"/>
    <w:rsid w:val="00D51E69"/>
    <w:rsid w:val="00D559C7"/>
    <w:rsid w:val="00D55FAF"/>
    <w:rsid w:val="00D57142"/>
    <w:rsid w:val="00D57988"/>
    <w:rsid w:val="00D63BEC"/>
    <w:rsid w:val="00D64778"/>
    <w:rsid w:val="00D649C6"/>
    <w:rsid w:val="00D67A34"/>
    <w:rsid w:val="00D70947"/>
    <w:rsid w:val="00D714A5"/>
    <w:rsid w:val="00D72F82"/>
    <w:rsid w:val="00D733FD"/>
    <w:rsid w:val="00D73459"/>
    <w:rsid w:val="00D74A3F"/>
    <w:rsid w:val="00D76A2C"/>
    <w:rsid w:val="00D813CA"/>
    <w:rsid w:val="00D81527"/>
    <w:rsid w:val="00D85E8D"/>
    <w:rsid w:val="00D902D5"/>
    <w:rsid w:val="00D9093D"/>
    <w:rsid w:val="00D91951"/>
    <w:rsid w:val="00D91B42"/>
    <w:rsid w:val="00D91BF7"/>
    <w:rsid w:val="00D9202E"/>
    <w:rsid w:val="00D9271D"/>
    <w:rsid w:val="00D94957"/>
    <w:rsid w:val="00D967F1"/>
    <w:rsid w:val="00D97F87"/>
    <w:rsid w:val="00DA0318"/>
    <w:rsid w:val="00DA168F"/>
    <w:rsid w:val="00DA3786"/>
    <w:rsid w:val="00DA608F"/>
    <w:rsid w:val="00DA75DB"/>
    <w:rsid w:val="00DA7A8A"/>
    <w:rsid w:val="00DB084B"/>
    <w:rsid w:val="00DB0B51"/>
    <w:rsid w:val="00DB0C45"/>
    <w:rsid w:val="00DB1983"/>
    <w:rsid w:val="00DB2876"/>
    <w:rsid w:val="00DB29B4"/>
    <w:rsid w:val="00DB2B04"/>
    <w:rsid w:val="00DB2C33"/>
    <w:rsid w:val="00DB2C51"/>
    <w:rsid w:val="00DB53C3"/>
    <w:rsid w:val="00DB5B45"/>
    <w:rsid w:val="00DB5DF6"/>
    <w:rsid w:val="00DB6C7D"/>
    <w:rsid w:val="00DB6FDB"/>
    <w:rsid w:val="00DB7BEC"/>
    <w:rsid w:val="00DC0349"/>
    <w:rsid w:val="00DC03F1"/>
    <w:rsid w:val="00DC290E"/>
    <w:rsid w:val="00DC4410"/>
    <w:rsid w:val="00DC4529"/>
    <w:rsid w:val="00DC7C03"/>
    <w:rsid w:val="00DD0F3B"/>
    <w:rsid w:val="00DD1F8C"/>
    <w:rsid w:val="00DD2FC2"/>
    <w:rsid w:val="00DD5A87"/>
    <w:rsid w:val="00DD65F7"/>
    <w:rsid w:val="00DE2355"/>
    <w:rsid w:val="00DE2B4C"/>
    <w:rsid w:val="00DE302B"/>
    <w:rsid w:val="00DE5FE6"/>
    <w:rsid w:val="00DE6703"/>
    <w:rsid w:val="00DE7098"/>
    <w:rsid w:val="00DF0026"/>
    <w:rsid w:val="00DF06CA"/>
    <w:rsid w:val="00DF2717"/>
    <w:rsid w:val="00DF4D91"/>
    <w:rsid w:val="00DF7049"/>
    <w:rsid w:val="00DF791F"/>
    <w:rsid w:val="00E01D5F"/>
    <w:rsid w:val="00E04017"/>
    <w:rsid w:val="00E06C60"/>
    <w:rsid w:val="00E06E22"/>
    <w:rsid w:val="00E078B2"/>
    <w:rsid w:val="00E079CC"/>
    <w:rsid w:val="00E14836"/>
    <w:rsid w:val="00E14A15"/>
    <w:rsid w:val="00E15D8E"/>
    <w:rsid w:val="00E17D00"/>
    <w:rsid w:val="00E21EA4"/>
    <w:rsid w:val="00E2313A"/>
    <w:rsid w:val="00E243D7"/>
    <w:rsid w:val="00E30347"/>
    <w:rsid w:val="00E31B91"/>
    <w:rsid w:val="00E334EC"/>
    <w:rsid w:val="00E36C90"/>
    <w:rsid w:val="00E4046C"/>
    <w:rsid w:val="00E412D2"/>
    <w:rsid w:val="00E41418"/>
    <w:rsid w:val="00E41ADA"/>
    <w:rsid w:val="00E47AAC"/>
    <w:rsid w:val="00E47C5B"/>
    <w:rsid w:val="00E5183E"/>
    <w:rsid w:val="00E51BA0"/>
    <w:rsid w:val="00E53E09"/>
    <w:rsid w:val="00E54303"/>
    <w:rsid w:val="00E5521D"/>
    <w:rsid w:val="00E56D21"/>
    <w:rsid w:val="00E626C9"/>
    <w:rsid w:val="00E639B7"/>
    <w:rsid w:val="00E65133"/>
    <w:rsid w:val="00E66445"/>
    <w:rsid w:val="00E676B4"/>
    <w:rsid w:val="00E70666"/>
    <w:rsid w:val="00E71F63"/>
    <w:rsid w:val="00E724FE"/>
    <w:rsid w:val="00E73DAF"/>
    <w:rsid w:val="00E74BC3"/>
    <w:rsid w:val="00E7512C"/>
    <w:rsid w:val="00E76F67"/>
    <w:rsid w:val="00E7720F"/>
    <w:rsid w:val="00E77B0F"/>
    <w:rsid w:val="00E80289"/>
    <w:rsid w:val="00E803DC"/>
    <w:rsid w:val="00E81662"/>
    <w:rsid w:val="00E81F5B"/>
    <w:rsid w:val="00E828DD"/>
    <w:rsid w:val="00E82B8D"/>
    <w:rsid w:val="00E83654"/>
    <w:rsid w:val="00E8513B"/>
    <w:rsid w:val="00E858DB"/>
    <w:rsid w:val="00E85D90"/>
    <w:rsid w:val="00E934CA"/>
    <w:rsid w:val="00E94079"/>
    <w:rsid w:val="00E9685B"/>
    <w:rsid w:val="00E96B65"/>
    <w:rsid w:val="00E97278"/>
    <w:rsid w:val="00E97418"/>
    <w:rsid w:val="00EA2013"/>
    <w:rsid w:val="00EA2CE8"/>
    <w:rsid w:val="00EA4CB7"/>
    <w:rsid w:val="00EA513A"/>
    <w:rsid w:val="00EB0C39"/>
    <w:rsid w:val="00EB37C0"/>
    <w:rsid w:val="00EB695C"/>
    <w:rsid w:val="00EB6A04"/>
    <w:rsid w:val="00EB7527"/>
    <w:rsid w:val="00EB78C9"/>
    <w:rsid w:val="00EC02CD"/>
    <w:rsid w:val="00EC0C66"/>
    <w:rsid w:val="00EC454C"/>
    <w:rsid w:val="00EC551C"/>
    <w:rsid w:val="00EC59FF"/>
    <w:rsid w:val="00EC624A"/>
    <w:rsid w:val="00ED177B"/>
    <w:rsid w:val="00ED3FD2"/>
    <w:rsid w:val="00ED49EB"/>
    <w:rsid w:val="00ED50EB"/>
    <w:rsid w:val="00ED5483"/>
    <w:rsid w:val="00ED6954"/>
    <w:rsid w:val="00EE1D43"/>
    <w:rsid w:val="00EE42D3"/>
    <w:rsid w:val="00EE44FB"/>
    <w:rsid w:val="00EE4B79"/>
    <w:rsid w:val="00EE5F12"/>
    <w:rsid w:val="00EE6674"/>
    <w:rsid w:val="00EE6D18"/>
    <w:rsid w:val="00EE6DA4"/>
    <w:rsid w:val="00EF0221"/>
    <w:rsid w:val="00EF1413"/>
    <w:rsid w:val="00EF1DD8"/>
    <w:rsid w:val="00EF36F3"/>
    <w:rsid w:val="00EF4CAB"/>
    <w:rsid w:val="00EF5B8B"/>
    <w:rsid w:val="00EF5B9B"/>
    <w:rsid w:val="00EF72CE"/>
    <w:rsid w:val="00F006FA"/>
    <w:rsid w:val="00F00FFA"/>
    <w:rsid w:val="00F01583"/>
    <w:rsid w:val="00F01D24"/>
    <w:rsid w:val="00F025CC"/>
    <w:rsid w:val="00F03803"/>
    <w:rsid w:val="00F05132"/>
    <w:rsid w:val="00F060BA"/>
    <w:rsid w:val="00F11EB0"/>
    <w:rsid w:val="00F1200B"/>
    <w:rsid w:val="00F120FE"/>
    <w:rsid w:val="00F126D7"/>
    <w:rsid w:val="00F13E85"/>
    <w:rsid w:val="00F14189"/>
    <w:rsid w:val="00F14398"/>
    <w:rsid w:val="00F14D6C"/>
    <w:rsid w:val="00F15AE8"/>
    <w:rsid w:val="00F165CF"/>
    <w:rsid w:val="00F16D79"/>
    <w:rsid w:val="00F21D22"/>
    <w:rsid w:val="00F22235"/>
    <w:rsid w:val="00F22658"/>
    <w:rsid w:val="00F23A5E"/>
    <w:rsid w:val="00F262C7"/>
    <w:rsid w:val="00F26CE3"/>
    <w:rsid w:val="00F3424E"/>
    <w:rsid w:val="00F352BE"/>
    <w:rsid w:val="00F35CD0"/>
    <w:rsid w:val="00F36975"/>
    <w:rsid w:val="00F42C39"/>
    <w:rsid w:val="00F42F8F"/>
    <w:rsid w:val="00F439F5"/>
    <w:rsid w:val="00F447FD"/>
    <w:rsid w:val="00F4554A"/>
    <w:rsid w:val="00F46710"/>
    <w:rsid w:val="00F47457"/>
    <w:rsid w:val="00F478F0"/>
    <w:rsid w:val="00F479BA"/>
    <w:rsid w:val="00F47ACF"/>
    <w:rsid w:val="00F505A1"/>
    <w:rsid w:val="00F509FC"/>
    <w:rsid w:val="00F511E9"/>
    <w:rsid w:val="00F51612"/>
    <w:rsid w:val="00F522DA"/>
    <w:rsid w:val="00F52D8B"/>
    <w:rsid w:val="00F53494"/>
    <w:rsid w:val="00F53A79"/>
    <w:rsid w:val="00F5424C"/>
    <w:rsid w:val="00F54330"/>
    <w:rsid w:val="00F54E0A"/>
    <w:rsid w:val="00F56038"/>
    <w:rsid w:val="00F56E98"/>
    <w:rsid w:val="00F57080"/>
    <w:rsid w:val="00F6088D"/>
    <w:rsid w:val="00F613CB"/>
    <w:rsid w:val="00F61BAE"/>
    <w:rsid w:val="00F61BE2"/>
    <w:rsid w:val="00F63556"/>
    <w:rsid w:val="00F655E4"/>
    <w:rsid w:val="00F65894"/>
    <w:rsid w:val="00F71621"/>
    <w:rsid w:val="00F72891"/>
    <w:rsid w:val="00F72A43"/>
    <w:rsid w:val="00F72A89"/>
    <w:rsid w:val="00F72FD9"/>
    <w:rsid w:val="00F72FDA"/>
    <w:rsid w:val="00F73D2B"/>
    <w:rsid w:val="00F7453D"/>
    <w:rsid w:val="00F75BDF"/>
    <w:rsid w:val="00F76F58"/>
    <w:rsid w:val="00F775B1"/>
    <w:rsid w:val="00F77E04"/>
    <w:rsid w:val="00F8132C"/>
    <w:rsid w:val="00F81F71"/>
    <w:rsid w:val="00F824D9"/>
    <w:rsid w:val="00F82A35"/>
    <w:rsid w:val="00F82F80"/>
    <w:rsid w:val="00F82FF6"/>
    <w:rsid w:val="00F855C0"/>
    <w:rsid w:val="00F90B5B"/>
    <w:rsid w:val="00F9108B"/>
    <w:rsid w:val="00F9341B"/>
    <w:rsid w:val="00FA6C98"/>
    <w:rsid w:val="00FA6EC3"/>
    <w:rsid w:val="00FB044C"/>
    <w:rsid w:val="00FB3549"/>
    <w:rsid w:val="00FB3FBA"/>
    <w:rsid w:val="00FB49FC"/>
    <w:rsid w:val="00FB4DE1"/>
    <w:rsid w:val="00FB5819"/>
    <w:rsid w:val="00FB723D"/>
    <w:rsid w:val="00FC004F"/>
    <w:rsid w:val="00FC0668"/>
    <w:rsid w:val="00FC21A0"/>
    <w:rsid w:val="00FC26E0"/>
    <w:rsid w:val="00FC40F8"/>
    <w:rsid w:val="00FC5F6F"/>
    <w:rsid w:val="00FC6233"/>
    <w:rsid w:val="00FC6624"/>
    <w:rsid w:val="00FC7DF5"/>
    <w:rsid w:val="00FC7ED5"/>
    <w:rsid w:val="00FD00AF"/>
    <w:rsid w:val="00FD0468"/>
    <w:rsid w:val="00FD0689"/>
    <w:rsid w:val="00FD07CC"/>
    <w:rsid w:val="00FD0E85"/>
    <w:rsid w:val="00FD18A4"/>
    <w:rsid w:val="00FD1F52"/>
    <w:rsid w:val="00FD209D"/>
    <w:rsid w:val="00FD284A"/>
    <w:rsid w:val="00FD58F9"/>
    <w:rsid w:val="00FD6226"/>
    <w:rsid w:val="00FD6789"/>
    <w:rsid w:val="00FD69A0"/>
    <w:rsid w:val="00FD69B8"/>
    <w:rsid w:val="00FE0358"/>
    <w:rsid w:val="00FE1A8B"/>
    <w:rsid w:val="00FE482B"/>
    <w:rsid w:val="00FE7426"/>
    <w:rsid w:val="00FF1127"/>
    <w:rsid w:val="00FF1652"/>
    <w:rsid w:val="00FF3195"/>
    <w:rsid w:val="00FF37CE"/>
    <w:rsid w:val="00FF4822"/>
    <w:rsid w:val="00FF56EE"/>
    <w:rsid w:val="00FF5C9C"/>
    <w:rsid w:val="00FF5ED4"/>
    <w:rsid w:val="00FF7D36"/>
    <w:rsid w:val="00FF7D48"/>
    <w:rsid w:val="0103B880"/>
    <w:rsid w:val="0117F817"/>
    <w:rsid w:val="0128F7F5"/>
    <w:rsid w:val="0133FE8E"/>
    <w:rsid w:val="013F0675"/>
    <w:rsid w:val="014C87BE"/>
    <w:rsid w:val="0152A439"/>
    <w:rsid w:val="015CA5F6"/>
    <w:rsid w:val="01685217"/>
    <w:rsid w:val="016C93CB"/>
    <w:rsid w:val="01814D9E"/>
    <w:rsid w:val="019966D8"/>
    <w:rsid w:val="01AC65A0"/>
    <w:rsid w:val="01B8B380"/>
    <w:rsid w:val="01BCB7C0"/>
    <w:rsid w:val="01BE1EB6"/>
    <w:rsid w:val="01CFCF17"/>
    <w:rsid w:val="01E3A8D1"/>
    <w:rsid w:val="01FBFA8E"/>
    <w:rsid w:val="02047684"/>
    <w:rsid w:val="0220C1AE"/>
    <w:rsid w:val="0223E7F8"/>
    <w:rsid w:val="023CCE36"/>
    <w:rsid w:val="024B9BF7"/>
    <w:rsid w:val="025B18F1"/>
    <w:rsid w:val="02A936FF"/>
    <w:rsid w:val="02BF23B3"/>
    <w:rsid w:val="02CABEE1"/>
    <w:rsid w:val="02CEB4F0"/>
    <w:rsid w:val="02E50011"/>
    <w:rsid w:val="02E92738"/>
    <w:rsid w:val="02F0C547"/>
    <w:rsid w:val="031E9C0A"/>
    <w:rsid w:val="032D64C4"/>
    <w:rsid w:val="032FFC36"/>
    <w:rsid w:val="033263B3"/>
    <w:rsid w:val="033CF015"/>
    <w:rsid w:val="034FA5D2"/>
    <w:rsid w:val="035A1C60"/>
    <w:rsid w:val="035A31A9"/>
    <w:rsid w:val="035A35B5"/>
    <w:rsid w:val="0368EE0A"/>
    <w:rsid w:val="036F1FC5"/>
    <w:rsid w:val="037094F7"/>
    <w:rsid w:val="037F8AE4"/>
    <w:rsid w:val="038ECA13"/>
    <w:rsid w:val="038F89C1"/>
    <w:rsid w:val="03A0FBF6"/>
    <w:rsid w:val="03A66D37"/>
    <w:rsid w:val="03CD18AD"/>
    <w:rsid w:val="03D47170"/>
    <w:rsid w:val="03FB1952"/>
    <w:rsid w:val="03FBF831"/>
    <w:rsid w:val="04248091"/>
    <w:rsid w:val="04404B17"/>
    <w:rsid w:val="044585B8"/>
    <w:rsid w:val="04584324"/>
    <w:rsid w:val="045C714B"/>
    <w:rsid w:val="04631ECF"/>
    <w:rsid w:val="047F0973"/>
    <w:rsid w:val="0482EF4B"/>
    <w:rsid w:val="04897E04"/>
    <w:rsid w:val="048B0211"/>
    <w:rsid w:val="049237F3"/>
    <w:rsid w:val="0498452C"/>
    <w:rsid w:val="04A8A484"/>
    <w:rsid w:val="04CB90C0"/>
    <w:rsid w:val="04D4338A"/>
    <w:rsid w:val="04DEB95B"/>
    <w:rsid w:val="04DEC22A"/>
    <w:rsid w:val="04EA3D17"/>
    <w:rsid w:val="0504B17A"/>
    <w:rsid w:val="05063CA5"/>
    <w:rsid w:val="051EE278"/>
    <w:rsid w:val="05407356"/>
    <w:rsid w:val="054C4089"/>
    <w:rsid w:val="05634EBA"/>
    <w:rsid w:val="05851AE7"/>
    <w:rsid w:val="0588BC1E"/>
    <w:rsid w:val="05977ECD"/>
    <w:rsid w:val="05A36D48"/>
    <w:rsid w:val="05CEDEE7"/>
    <w:rsid w:val="05E59E89"/>
    <w:rsid w:val="05E74D7D"/>
    <w:rsid w:val="05E88F68"/>
    <w:rsid w:val="05FB932F"/>
    <w:rsid w:val="05FBF2BD"/>
    <w:rsid w:val="060DE0EB"/>
    <w:rsid w:val="06218BAF"/>
    <w:rsid w:val="064D8198"/>
    <w:rsid w:val="0662C881"/>
    <w:rsid w:val="066B307E"/>
    <w:rsid w:val="0684E71E"/>
    <w:rsid w:val="0688C835"/>
    <w:rsid w:val="068DDFD7"/>
    <w:rsid w:val="069CF4C8"/>
    <w:rsid w:val="069D92A8"/>
    <w:rsid w:val="06AAF960"/>
    <w:rsid w:val="06B4EE35"/>
    <w:rsid w:val="06C2F4BB"/>
    <w:rsid w:val="06C3ACB3"/>
    <w:rsid w:val="076A3579"/>
    <w:rsid w:val="076F068B"/>
    <w:rsid w:val="07792D7C"/>
    <w:rsid w:val="077EE56C"/>
    <w:rsid w:val="0781DA10"/>
    <w:rsid w:val="07A539B7"/>
    <w:rsid w:val="07BBE2F4"/>
    <w:rsid w:val="07BBE77D"/>
    <w:rsid w:val="07C8B9F4"/>
    <w:rsid w:val="07CF3C1E"/>
    <w:rsid w:val="07E8B406"/>
    <w:rsid w:val="08063ECC"/>
    <w:rsid w:val="0815DC8A"/>
    <w:rsid w:val="082C573F"/>
    <w:rsid w:val="083799E6"/>
    <w:rsid w:val="084D0E89"/>
    <w:rsid w:val="084E81A8"/>
    <w:rsid w:val="08589A3B"/>
    <w:rsid w:val="0864CC97"/>
    <w:rsid w:val="089D5772"/>
    <w:rsid w:val="08A88E8B"/>
    <w:rsid w:val="08D64E67"/>
    <w:rsid w:val="08E1611C"/>
    <w:rsid w:val="08E42C96"/>
    <w:rsid w:val="08F74520"/>
    <w:rsid w:val="08F8788B"/>
    <w:rsid w:val="090306AB"/>
    <w:rsid w:val="090C680C"/>
    <w:rsid w:val="090D21C8"/>
    <w:rsid w:val="0915EBDE"/>
    <w:rsid w:val="0940FB34"/>
    <w:rsid w:val="095FEA25"/>
    <w:rsid w:val="0970F924"/>
    <w:rsid w:val="0973D872"/>
    <w:rsid w:val="099AA3B2"/>
    <w:rsid w:val="09B39AD6"/>
    <w:rsid w:val="09B4A008"/>
    <w:rsid w:val="09C98A12"/>
    <w:rsid w:val="09CBEF72"/>
    <w:rsid w:val="09CCBAF4"/>
    <w:rsid w:val="09D6CF7D"/>
    <w:rsid w:val="0A03A320"/>
    <w:rsid w:val="0A49375F"/>
    <w:rsid w:val="0A534504"/>
    <w:rsid w:val="0A7A1F5B"/>
    <w:rsid w:val="0AB14E34"/>
    <w:rsid w:val="0AC688F9"/>
    <w:rsid w:val="0AFFB3E7"/>
    <w:rsid w:val="0B2C3BB2"/>
    <w:rsid w:val="0B3A604B"/>
    <w:rsid w:val="0B473087"/>
    <w:rsid w:val="0B5D8199"/>
    <w:rsid w:val="0B77CA9A"/>
    <w:rsid w:val="0B787E55"/>
    <w:rsid w:val="0B8C9860"/>
    <w:rsid w:val="0B91FA65"/>
    <w:rsid w:val="0BB36D32"/>
    <w:rsid w:val="0BBA92A0"/>
    <w:rsid w:val="0BBF8F2C"/>
    <w:rsid w:val="0BC7FA47"/>
    <w:rsid w:val="0BDAB48B"/>
    <w:rsid w:val="0BEBAC55"/>
    <w:rsid w:val="0C221A38"/>
    <w:rsid w:val="0C233CA5"/>
    <w:rsid w:val="0C4734D1"/>
    <w:rsid w:val="0C64D927"/>
    <w:rsid w:val="0C8C8A9D"/>
    <w:rsid w:val="0C9CDA13"/>
    <w:rsid w:val="0CA987B4"/>
    <w:rsid w:val="0CCC5163"/>
    <w:rsid w:val="0CDDD58D"/>
    <w:rsid w:val="0CE132E9"/>
    <w:rsid w:val="0D02D34C"/>
    <w:rsid w:val="0D037CC3"/>
    <w:rsid w:val="0D073754"/>
    <w:rsid w:val="0D11AD58"/>
    <w:rsid w:val="0D19AFF7"/>
    <w:rsid w:val="0D2B96F1"/>
    <w:rsid w:val="0D337988"/>
    <w:rsid w:val="0D4DC537"/>
    <w:rsid w:val="0D6DB113"/>
    <w:rsid w:val="0D8419DE"/>
    <w:rsid w:val="0D8AB264"/>
    <w:rsid w:val="0DA35F98"/>
    <w:rsid w:val="0DA91966"/>
    <w:rsid w:val="0DB13D9E"/>
    <w:rsid w:val="0DB685A6"/>
    <w:rsid w:val="0DCFB3DE"/>
    <w:rsid w:val="0DE013D6"/>
    <w:rsid w:val="0DFA53C7"/>
    <w:rsid w:val="0E0B2CB6"/>
    <w:rsid w:val="0E167CC7"/>
    <w:rsid w:val="0E291F22"/>
    <w:rsid w:val="0E399DA1"/>
    <w:rsid w:val="0E3B2AD4"/>
    <w:rsid w:val="0E500F7A"/>
    <w:rsid w:val="0E5F0D63"/>
    <w:rsid w:val="0E609616"/>
    <w:rsid w:val="0E65D850"/>
    <w:rsid w:val="0E6A9353"/>
    <w:rsid w:val="0E7E6D0F"/>
    <w:rsid w:val="0E817470"/>
    <w:rsid w:val="0E99BDC1"/>
    <w:rsid w:val="0E9CC7CD"/>
    <w:rsid w:val="0EC44BB1"/>
    <w:rsid w:val="0ED3AEA0"/>
    <w:rsid w:val="0ED71831"/>
    <w:rsid w:val="0ED89D42"/>
    <w:rsid w:val="0EEB0FF6"/>
    <w:rsid w:val="0EF0F423"/>
    <w:rsid w:val="0F0E71AE"/>
    <w:rsid w:val="0F255158"/>
    <w:rsid w:val="0F358FF7"/>
    <w:rsid w:val="0F488BE0"/>
    <w:rsid w:val="0F6177B1"/>
    <w:rsid w:val="0F6A9CE7"/>
    <w:rsid w:val="0F779910"/>
    <w:rsid w:val="0F878E26"/>
    <w:rsid w:val="0F9BEE10"/>
    <w:rsid w:val="0FAF4CDC"/>
    <w:rsid w:val="0FB381CA"/>
    <w:rsid w:val="0FC928B8"/>
    <w:rsid w:val="0FF5523B"/>
    <w:rsid w:val="10048997"/>
    <w:rsid w:val="1004D96B"/>
    <w:rsid w:val="100EBA30"/>
    <w:rsid w:val="1011B3E8"/>
    <w:rsid w:val="102920DD"/>
    <w:rsid w:val="10294435"/>
    <w:rsid w:val="10307953"/>
    <w:rsid w:val="10386B5E"/>
    <w:rsid w:val="103A15A9"/>
    <w:rsid w:val="103D0910"/>
    <w:rsid w:val="103DF053"/>
    <w:rsid w:val="104DFF78"/>
    <w:rsid w:val="105DE55F"/>
    <w:rsid w:val="106D8A20"/>
    <w:rsid w:val="1080039F"/>
    <w:rsid w:val="109D139F"/>
    <w:rsid w:val="10A05399"/>
    <w:rsid w:val="10C64313"/>
    <w:rsid w:val="10CB5F87"/>
    <w:rsid w:val="10CE2A75"/>
    <w:rsid w:val="10E9868A"/>
    <w:rsid w:val="10E9CA6C"/>
    <w:rsid w:val="10FCFBC5"/>
    <w:rsid w:val="110057C0"/>
    <w:rsid w:val="11067C40"/>
    <w:rsid w:val="111079EE"/>
    <w:rsid w:val="1131206A"/>
    <w:rsid w:val="1140DB3E"/>
    <w:rsid w:val="11485E52"/>
    <w:rsid w:val="11671BEE"/>
    <w:rsid w:val="117B421F"/>
    <w:rsid w:val="117C6228"/>
    <w:rsid w:val="119F05D5"/>
    <w:rsid w:val="11A0B5CC"/>
    <w:rsid w:val="11B2D927"/>
    <w:rsid w:val="11B8BE06"/>
    <w:rsid w:val="11BA2373"/>
    <w:rsid w:val="11BBC84C"/>
    <w:rsid w:val="11C39797"/>
    <w:rsid w:val="11D16B0A"/>
    <w:rsid w:val="11DF4678"/>
    <w:rsid w:val="11F0EC1D"/>
    <w:rsid w:val="11FA1CF4"/>
    <w:rsid w:val="11FC095C"/>
    <w:rsid w:val="11FE4FBA"/>
    <w:rsid w:val="12218BDF"/>
    <w:rsid w:val="125B5AA9"/>
    <w:rsid w:val="12733A38"/>
    <w:rsid w:val="12875DCB"/>
    <w:rsid w:val="12890370"/>
    <w:rsid w:val="128B9A0E"/>
    <w:rsid w:val="128D974B"/>
    <w:rsid w:val="128ED54C"/>
    <w:rsid w:val="12919734"/>
    <w:rsid w:val="12A74789"/>
    <w:rsid w:val="12B7103F"/>
    <w:rsid w:val="12D76955"/>
    <w:rsid w:val="12DFD659"/>
    <w:rsid w:val="12E02A7E"/>
    <w:rsid w:val="12F2F4CE"/>
    <w:rsid w:val="12FB3F5C"/>
    <w:rsid w:val="1305557A"/>
    <w:rsid w:val="131594B6"/>
    <w:rsid w:val="13299DA4"/>
    <w:rsid w:val="133117C6"/>
    <w:rsid w:val="13314A97"/>
    <w:rsid w:val="1346BA00"/>
    <w:rsid w:val="135DA102"/>
    <w:rsid w:val="13739DA7"/>
    <w:rsid w:val="13775BE0"/>
    <w:rsid w:val="137E7A22"/>
    <w:rsid w:val="1380EFC7"/>
    <w:rsid w:val="1397566E"/>
    <w:rsid w:val="13B34CE0"/>
    <w:rsid w:val="13C6DC1F"/>
    <w:rsid w:val="13D2A916"/>
    <w:rsid w:val="13ED37A8"/>
    <w:rsid w:val="13FA9728"/>
    <w:rsid w:val="13FF9267"/>
    <w:rsid w:val="14189675"/>
    <w:rsid w:val="14277A06"/>
    <w:rsid w:val="142B0F99"/>
    <w:rsid w:val="14549288"/>
    <w:rsid w:val="1457841A"/>
    <w:rsid w:val="1472A573"/>
    <w:rsid w:val="1479A6D3"/>
    <w:rsid w:val="14937CE4"/>
    <w:rsid w:val="14B4665E"/>
    <w:rsid w:val="14B50382"/>
    <w:rsid w:val="14C80C32"/>
    <w:rsid w:val="14C99FC9"/>
    <w:rsid w:val="14E7DBFF"/>
    <w:rsid w:val="14EF74E5"/>
    <w:rsid w:val="14FC5EC7"/>
    <w:rsid w:val="15072DB9"/>
    <w:rsid w:val="15103508"/>
    <w:rsid w:val="1510FC76"/>
    <w:rsid w:val="15317F6B"/>
    <w:rsid w:val="153F5E84"/>
    <w:rsid w:val="15454E58"/>
    <w:rsid w:val="155448AD"/>
    <w:rsid w:val="156BCB65"/>
    <w:rsid w:val="1570ED1D"/>
    <w:rsid w:val="157DC750"/>
    <w:rsid w:val="15924B27"/>
    <w:rsid w:val="1592797F"/>
    <w:rsid w:val="159A7CD4"/>
    <w:rsid w:val="15BB45B8"/>
    <w:rsid w:val="15BE8B42"/>
    <w:rsid w:val="15BFD01A"/>
    <w:rsid w:val="15C0A84E"/>
    <w:rsid w:val="15CF5350"/>
    <w:rsid w:val="15D21C7B"/>
    <w:rsid w:val="15D727CE"/>
    <w:rsid w:val="15D974F2"/>
    <w:rsid w:val="1604F707"/>
    <w:rsid w:val="1632CFA5"/>
    <w:rsid w:val="1638243E"/>
    <w:rsid w:val="164835DE"/>
    <w:rsid w:val="164DDA55"/>
    <w:rsid w:val="1657E714"/>
    <w:rsid w:val="165FA31B"/>
    <w:rsid w:val="166E6467"/>
    <w:rsid w:val="16815A13"/>
    <w:rsid w:val="1689CF27"/>
    <w:rsid w:val="168FA7D1"/>
    <w:rsid w:val="16A9340C"/>
    <w:rsid w:val="16BF1B04"/>
    <w:rsid w:val="16E332AA"/>
    <w:rsid w:val="16F6CCB0"/>
    <w:rsid w:val="17151311"/>
    <w:rsid w:val="1717C5E8"/>
    <w:rsid w:val="173A56FB"/>
    <w:rsid w:val="174862C9"/>
    <w:rsid w:val="174BDC7F"/>
    <w:rsid w:val="176A8AA8"/>
    <w:rsid w:val="176ABDD8"/>
    <w:rsid w:val="1771C0B0"/>
    <w:rsid w:val="178341C2"/>
    <w:rsid w:val="17ADEA42"/>
    <w:rsid w:val="17C3205F"/>
    <w:rsid w:val="17C80698"/>
    <w:rsid w:val="17CCAC65"/>
    <w:rsid w:val="17CF058C"/>
    <w:rsid w:val="17D4005E"/>
    <w:rsid w:val="17D6C5C9"/>
    <w:rsid w:val="17DC2D79"/>
    <w:rsid w:val="17E667DD"/>
    <w:rsid w:val="17ED29F1"/>
    <w:rsid w:val="17EE9132"/>
    <w:rsid w:val="17F64EB5"/>
    <w:rsid w:val="180FDD43"/>
    <w:rsid w:val="181046C7"/>
    <w:rsid w:val="181E455B"/>
    <w:rsid w:val="18370D7B"/>
    <w:rsid w:val="18392409"/>
    <w:rsid w:val="184C1F81"/>
    <w:rsid w:val="1862B10E"/>
    <w:rsid w:val="186888F8"/>
    <w:rsid w:val="1876C0D1"/>
    <w:rsid w:val="1889E51D"/>
    <w:rsid w:val="18A168F5"/>
    <w:rsid w:val="18A753B9"/>
    <w:rsid w:val="18AC1664"/>
    <w:rsid w:val="18B4CE3C"/>
    <w:rsid w:val="18B5A9F4"/>
    <w:rsid w:val="18B97563"/>
    <w:rsid w:val="18B9AD62"/>
    <w:rsid w:val="18D046AB"/>
    <w:rsid w:val="18D60836"/>
    <w:rsid w:val="18E72436"/>
    <w:rsid w:val="18F18692"/>
    <w:rsid w:val="18FBBE13"/>
    <w:rsid w:val="1900CC1E"/>
    <w:rsid w:val="1921CF3B"/>
    <w:rsid w:val="192D4BA7"/>
    <w:rsid w:val="193B34D6"/>
    <w:rsid w:val="194ECCBD"/>
    <w:rsid w:val="195B6908"/>
    <w:rsid w:val="19608F08"/>
    <w:rsid w:val="19695074"/>
    <w:rsid w:val="19754F4A"/>
    <w:rsid w:val="1984832E"/>
    <w:rsid w:val="198DF131"/>
    <w:rsid w:val="1995DB0A"/>
    <w:rsid w:val="199EAC4D"/>
    <w:rsid w:val="19A73B5D"/>
    <w:rsid w:val="19A7C7E1"/>
    <w:rsid w:val="19B55AD7"/>
    <w:rsid w:val="19B76A86"/>
    <w:rsid w:val="19BF251A"/>
    <w:rsid w:val="19C8347C"/>
    <w:rsid w:val="19CCF522"/>
    <w:rsid w:val="19F0F6CF"/>
    <w:rsid w:val="19F32162"/>
    <w:rsid w:val="19F7E058"/>
    <w:rsid w:val="19F8283A"/>
    <w:rsid w:val="1A0563E6"/>
    <w:rsid w:val="1A0B6F01"/>
    <w:rsid w:val="1A29F3D7"/>
    <w:rsid w:val="1A60426B"/>
    <w:rsid w:val="1A79E01C"/>
    <w:rsid w:val="1A84E7D8"/>
    <w:rsid w:val="1A8A7B9B"/>
    <w:rsid w:val="1AA30AD5"/>
    <w:rsid w:val="1AA58BA4"/>
    <w:rsid w:val="1AB350FB"/>
    <w:rsid w:val="1ACF84BD"/>
    <w:rsid w:val="1AD277DF"/>
    <w:rsid w:val="1AD79847"/>
    <w:rsid w:val="1AE53E47"/>
    <w:rsid w:val="1AF04B02"/>
    <w:rsid w:val="1AF83280"/>
    <w:rsid w:val="1B1C4ACD"/>
    <w:rsid w:val="1B1D9865"/>
    <w:rsid w:val="1B37F81A"/>
    <w:rsid w:val="1B41F868"/>
    <w:rsid w:val="1B4FD1F3"/>
    <w:rsid w:val="1B51122C"/>
    <w:rsid w:val="1B6FF669"/>
    <w:rsid w:val="1B81A7B2"/>
    <w:rsid w:val="1B82D2C8"/>
    <w:rsid w:val="1B979918"/>
    <w:rsid w:val="1B9E3758"/>
    <w:rsid w:val="1BA5061E"/>
    <w:rsid w:val="1BB0799E"/>
    <w:rsid w:val="1BBB1367"/>
    <w:rsid w:val="1BBBE91C"/>
    <w:rsid w:val="1BC3823C"/>
    <w:rsid w:val="1BC4A597"/>
    <w:rsid w:val="1BC664A2"/>
    <w:rsid w:val="1BC70348"/>
    <w:rsid w:val="1BC97200"/>
    <w:rsid w:val="1BCE4639"/>
    <w:rsid w:val="1BEF3AC6"/>
    <w:rsid w:val="1C019A27"/>
    <w:rsid w:val="1C20A77D"/>
    <w:rsid w:val="1C2C6705"/>
    <w:rsid w:val="1C4141BD"/>
    <w:rsid w:val="1C528B38"/>
    <w:rsid w:val="1C688A2C"/>
    <w:rsid w:val="1CA7603C"/>
    <w:rsid w:val="1CBD5A51"/>
    <w:rsid w:val="1CC85D53"/>
    <w:rsid w:val="1CD726A2"/>
    <w:rsid w:val="1CF4470F"/>
    <w:rsid w:val="1CF90CC0"/>
    <w:rsid w:val="1CFE57FC"/>
    <w:rsid w:val="1CFF82CF"/>
    <w:rsid w:val="1D0EC108"/>
    <w:rsid w:val="1D2D725C"/>
    <w:rsid w:val="1D2E17B9"/>
    <w:rsid w:val="1D308595"/>
    <w:rsid w:val="1D314591"/>
    <w:rsid w:val="1D3ACAE8"/>
    <w:rsid w:val="1D568204"/>
    <w:rsid w:val="1D6B42BF"/>
    <w:rsid w:val="1D6E69AA"/>
    <w:rsid w:val="1D84FE43"/>
    <w:rsid w:val="1D8ACE4C"/>
    <w:rsid w:val="1D95BC48"/>
    <w:rsid w:val="1D989025"/>
    <w:rsid w:val="1DB5D41F"/>
    <w:rsid w:val="1DC15E83"/>
    <w:rsid w:val="1DC1AD49"/>
    <w:rsid w:val="1DC727B9"/>
    <w:rsid w:val="1DCB2CA1"/>
    <w:rsid w:val="1DFABF05"/>
    <w:rsid w:val="1E11B65E"/>
    <w:rsid w:val="1E16BA49"/>
    <w:rsid w:val="1E1A1FD6"/>
    <w:rsid w:val="1E364A25"/>
    <w:rsid w:val="1E5147B0"/>
    <w:rsid w:val="1E5C296C"/>
    <w:rsid w:val="1E64D3D1"/>
    <w:rsid w:val="1E865933"/>
    <w:rsid w:val="1E8C514C"/>
    <w:rsid w:val="1E9EE513"/>
    <w:rsid w:val="1EA04AF7"/>
    <w:rsid w:val="1EAC4A66"/>
    <w:rsid w:val="1EBC2147"/>
    <w:rsid w:val="1ED2FD98"/>
    <w:rsid w:val="1EE69CF4"/>
    <w:rsid w:val="1EE7DFB7"/>
    <w:rsid w:val="1EF0B94A"/>
    <w:rsid w:val="1EF29487"/>
    <w:rsid w:val="1EF3D87F"/>
    <w:rsid w:val="1F061460"/>
    <w:rsid w:val="1F0D1F57"/>
    <w:rsid w:val="1F0F47D8"/>
    <w:rsid w:val="1F15F92F"/>
    <w:rsid w:val="1F205510"/>
    <w:rsid w:val="1F2B420E"/>
    <w:rsid w:val="1F2D6160"/>
    <w:rsid w:val="1F304878"/>
    <w:rsid w:val="1F56E39A"/>
    <w:rsid w:val="1F58243C"/>
    <w:rsid w:val="1F5A81C0"/>
    <w:rsid w:val="1F77BB3F"/>
    <w:rsid w:val="1F8B4182"/>
    <w:rsid w:val="1F90BC62"/>
    <w:rsid w:val="1FB6353F"/>
    <w:rsid w:val="1FC977A9"/>
    <w:rsid w:val="1FCD4D70"/>
    <w:rsid w:val="1FD7CD0A"/>
    <w:rsid w:val="1FDA3707"/>
    <w:rsid w:val="1FE85A50"/>
    <w:rsid w:val="201D5924"/>
    <w:rsid w:val="2021E418"/>
    <w:rsid w:val="20533651"/>
    <w:rsid w:val="205BE889"/>
    <w:rsid w:val="20602239"/>
    <w:rsid w:val="2060C1EB"/>
    <w:rsid w:val="20747ECF"/>
    <w:rsid w:val="207E6633"/>
    <w:rsid w:val="2086C6C7"/>
    <w:rsid w:val="20955840"/>
    <w:rsid w:val="20998F2A"/>
    <w:rsid w:val="209C3C27"/>
    <w:rsid w:val="20A11107"/>
    <w:rsid w:val="20A690BF"/>
    <w:rsid w:val="20AE0E15"/>
    <w:rsid w:val="20B269DB"/>
    <w:rsid w:val="20B759C0"/>
    <w:rsid w:val="20BF0914"/>
    <w:rsid w:val="20E6CD0C"/>
    <w:rsid w:val="20E89926"/>
    <w:rsid w:val="211D40B7"/>
    <w:rsid w:val="212228F8"/>
    <w:rsid w:val="21298509"/>
    <w:rsid w:val="216EBCCB"/>
    <w:rsid w:val="218AD30A"/>
    <w:rsid w:val="21AE5D5E"/>
    <w:rsid w:val="21D2A5C1"/>
    <w:rsid w:val="21D9EF28"/>
    <w:rsid w:val="2234F5F3"/>
    <w:rsid w:val="225F2CB8"/>
    <w:rsid w:val="2289C2AC"/>
    <w:rsid w:val="22BADD9F"/>
    <w:rsid w:val="22C571B5"/>
    <w:rsid w:val="23020100"/>
    <w:rsid w:val="230782EC"/>
    <w:rsid w:val="230D5F63"/>
    <w:rsid w:val="232EAAAB"/>
    <w:rsid w:val="23413630"/>
    <w:rsid w:val="2342E5EA"/>
    <w:rsid w:val="236723E7"/>
    <w:rsid w:val="2367E09A"/>
    <w:rsid w:val="2372FE29"/>
    <w:rsid w:val="2391F290"/>
    <w:rsid w:val="23B42EC5"/>
    <w:rsid w:val="23B69E3A"/>
    <w:rsid w:val="23BAA873"/>
    <w:rsid w:val="23BE7C28"/>
    <w:rsid w:val="23BF8E0D"/>
    <w:rsid w:val="23CAE275"/>
    <w:rsid w:val="23EFF37A"/>
    <w:rsid w:val="23F23FB9"/>
    <w:rsid w:val="23F7E77D"/>
    <w:rsid w:val="242A8410"/>
    <w:rsid w:val="242D0982"/>
    <w:rsid w:val="2433B33F"/>
    <w:rsid w:val="2434075F"/>
    <w:rsid w:val="243E418E"/>
    <w:rsid w:val="24463C0A"/>
    <w:rsid w:val="2456C43F"/>
    <w:rsid w:val="247238B1"/>
    <w:rsid w:val="247EB0B3"/>
    <w:rsid w:val="24904C57"/>
    <w:rsid w:val="2493B0C3"/>
    <w:rsid w:val="249AAC7F"/>
    <w:rsid w:val="24AFCEE5"/>
    <w:rsid w:val="24B1D030"/>
    <w:rsid w:val="24B640E4"/>
    <w:rsid w:val="24BC972B"/>
    <w:rsid w:val="24BD87B3"/>
    <w:rsid w:val="24CA6B8E"/>
    <w:rsid w:val="24D0FC39"/>
    <w:rsid w:val="24FAB68E"/>
    <w:rsid w:val="251DBF8F"/>
    <w:rsid w:val="252B0FA4"/>
    <w:rsid w:val="252C60CB"/>
    <w:rsid w:val="25417001"/>
    <w:rsid w:val="254410AE"/>
    <w:rsid w:val="2545D1D9"/>
    <w:rsid w:val="25471412"/>
    <w:rsid w:val="2553B45F"/>
    <w:rsid w:val="2563C9C2"/>
    <w:rsid w:val="257A0E8E"/>
    <w:rsid w:val="2584976E"/>
    <w:rsid w:val="259C1A26"/>
    <w:rsid w:val="25DFEA98"/>
    <w:rsid w:val="25EE537E"/>
    <w:rsid w:val="25F559E1"/>
    <w:rsid w:val="25FD5210"/>
    <w:rsid w:val="26079C7A"/>
    <w:rsid w:val="261B34D6"/>
    <w:rsid w:val="2634CD31"/>
    <w:rsid w:val="263EBF2C"/>
    <w:rsid w:val="265EB471"/>
    <w:rsid w:val="2675AFC4"/>
    <w:rsid w:val="26844FD8"/>
    <w:rsid w:val="268F5C97"/>
    <w:rsid w:val="269B2658"/>
    <w:rsid w:val="26AE1076"/>
    <w:rsid w:val="26AEB339"/>
    <w:rsid w:val="26BB65EF"/>
    <w:rsid w:val="26EE60CF"/>
    <w:rsid w:val="26FADD9B"/>
    <w:rsid w:val="272015FA"/>
    <w:rsid w:val="27282291"/>
    <w:rsid w:val="274DCE58"/>
    <w:rsid w:val="2763CA5E"/>
    <w:rsid w:val="27679F59"/>
    <w:rsid w:val="27793C4F"/>
    <w:rsid w:val="27897A68"/>
    <w:rsid w:val="27983824"/>
    <w:rsid w:val="279C657C"/>
    <w:rsid w:val="27A2D2F6"/>
    <w:rsid w:val="27B0285F"/>
    <w:rsid w:val="27C27BC7"/>
    <w:rsid w:val="27D6053B"/>
    <w:rsid w:val="27D692C9"/>
    <w:rsid w:val="27DBC809"/>
    <w:rsid w:val="27E2E835"/>
    <w:rsid w:val="27EF5985"/>
    <w:rsid w:val="27FB9658"/>
    <w:rsid w:val="2810FDCC"/>
    <w:rsid w:val="2818CB53"/>
    <w:rsid w:val="28409CCE"/>
    <w:rsid w:val="285A078C"/>
    <w:rsid w:val="285B1993"/>
    <w:rsid w:val="285D157B"/>
    <w:rsid w:val="28614FC2"/>
    <w:rsid w:val="286BBF0D"/>
    <w:rsid w:val="287B56F9"/>
    <w:rsid w:val="288D8A15"/>
    <w:rsid w:val="28A296EA"/>
    <w:rsid w:val="28A789C5"/>
    <w:rsid w:val="28B14E9E"/>
    <w:rsid w:val="28B21BC1"/>
    <w:rsid w:val="28B90AD2"/>
    <w:rsid w:val="28D66A3C"/>
    <w:rsid w:val="28EA58E5"/>
    <w:rsid w:val="28FF2C8C"/>
    <w:rsid w:val="29234F37"/>
    <w:rsid w:val="29236F9E"/>
    <w:rsid w:val="2925B96E"/>
    <w:rsid w:val="29271CD5"/>
    <w:rsid w:val="2941C87F"/>
    <w:rsid w:val="29498C0F"/>
    <w:rsid w:val="29570310"/>
    <w:rsid w:val="295EF83E"/>
    <w:rsid w:val="29601E79"/>
    <w:rsid w:val="296F62CF"/>
    <w:rsid w:val="297BBEBB"/>
    <w:rsid w:val="29876FCC"/>
    <w:rsid w:val="298B55ED"/>
    <w:rsid w:val="2994F659"/>
    <w:rsid w:val="29968557"/>
    <w:rsid w:val="299B8297"/>
    <w:rsid w:val="29A1FBBA"/>
    <w:rsid w:val="29B351C9"/>
    <w:rsid w:val="29B46D2F"/>
    <w:rsid w:val="29BAB938"/>
    <w:rsid w:val="29D45086"/>
    <w:rsid w:val="29D94081"/>
    <w:rsid w:val="29F68651"/>
    <w:rsid w:val="2A09FCE5"/>
    <w:rsid w:val="2A261553"/>
    <w:rsid w:val="2A2C3E1C"/>
    <w:rsid w:val="2A43AAA9"/>
    <w:rsid w:val="2A535D93"/>
    <w:rsid w:val="2A5759BA"/>
    <w:rsid w:val="2A59A814"/>
    <w:rsid w:val="2A5DCE57"/>
    <w:rsid w:val="2A902617"/>
    <w:rsid w:val="2A9DA6E6"/>
    <w:rsid w:val="2AA44E11"/>
    <w:rsid w:val="2AA95DB5"/>
    <w:rsid w:val="2AAAD8F4"/>
    <w:rsid w:val="2ABB8724"/>
    <w:rsid w:val="2AE7DD3A"/>
    <w:rsid w:val="2B073A8E"/>
    <w:rsid w:val="2B157373"/>
    <w:rsid w:val="2B187AEA"/>
    <w:rsid w:val="2B1959D5"/>
    <w:rsid w:val="2B221F23"/>
    <w:rsid w:val="2B230BEE"/>
    <w:rsid w:val="2B3DCC9E"/>
    <w:rsid w:val="2B3FE3E0"/>
    <w:rsid w:val="2B41746F"/>
    <w:rsid w:val="2B4E61F8"/>
    <w:rsid w:val="2B6D451D"/>
    <w:rsid w:val="2B747A0B"/>
    <w:rsid w:val="2B819C6F"/>
    <w:rsid w:val="2B8CEFA4"/>
    <w:rsid w:val="2BA56ABB"/>
    <w:rsid w:val="2BCB3ABE"/>
    <w:rsid w:val="2BCBC695"/>
    <w:rsid w:val="2BDFE980"/>
    <w:rsid w:val="2BF80128"/>
    <w:rsid w:val="2BF89B4E"/>
    <w:rsid w:val="2BFD5732"/>
    <w:rsid w:val="2C0695B5"/>
    <w:rsid w:val="2C22A668"/>
    <w:rsid w:val="2C260059"/>
    <w:rsid w:val="2C31A52D"/>
    <w:rsid w:val="2C37B18C"/>
    <w:rsid w:val="2C3DB1B7"/>
    <w:rsid w:val="2C64EEE0"/>
    <w:rsid w:val="2C821E51"/>
    <w:rsid w:val="2C96F25D"/>
    <w:rsid w:val="2C9A0BBE"/>
    <w:rsid w:val="2C9DEA4F"/>
    <w:rsid w:val="2CA097F0"/>
    <w:rsid w:val="2CA21CD2"/>
    <w:rsid w:val="2CADD099"/>
    <w:rsid w:val="2CB1685E"/>
    <w:rsid w:val="2CC7F048"/>
    <w:rsid w:val="2CDB8B7F"/>
    <w:rsid w:val="2CE0EC4C"/>
    <w:rsid w:val="2CEAE9F5"/>
    <w:rsid w:val="2CF3C489"/>
    <w:rsid w:val="2CF9F837"/>
    <w:rsid w:val="2D024C2D"/>
    <w:rsid w:val="2D234320"/>
    <w:rsid w:val="2D33110C"/>
    <w:rsid w:val="2D3340EC"/>
    <w:rsid w:val="2D3EAE76"/>
    <w:rsid w:val="2D45F584"/>
    <w:rsid w:val="2D5A82FD"/>
    <w:rsid w:val="2D707899"/>
    <w:rsid w:val="2D714829"/>
    <w:rsid w:val="2D883CD7"/>
    <w:rsid w:val="2D8ACCBF"/>
    <w:rsid w:val="2D8CAEAD"/>
    <w:rsid w:val="2DAE9276"/>
    <w:rsid w:val="2DB19494"/>
    <w:rsid w:val="2DC2C51A"/>
    <w:rsid w:val="2DD79FD6"/>
    <w:rsid w:val="2DE3B142"/>
    <w:rsid w:val="2E042F95"/>
    <w:rsid w:val="2E2571DA"/>
    <w:rsid w:val="2E48F357"/>
    <w:rsid w:val="2E6DC586"/>
    <w:rsid w:val="2E7B2DE6"/>
    <w:rsid w:val="2E7F9FAF"/>
    <w:rsid w:val="2E838728"/>
    <w:rsid w:val="2E94B265"/>
    <w:rsid w:val="2E9BAB99"/>
    <w:rsid w:val="2EAD9DED"/>
    <w:rsid w:val="2EBB02E6"/>
    <w:rsid w:val="2ED653F7"/>
    <w:rsid w:val="2EE94786"/>
    <w:rsid w:val="2F288FCC"/>
    <w:rsid w:val="2F2A1595"/>
    <w:rsid w:val="2F378CCC"/>
    <w:rsid w:val="2F40858A"/>
    <w:rsid w:val="2F573BD6"/>
    <w:rsid w:val="2F7D57A1"/>
    <w:rsid w:val="2F8404DD"/>
    <w:rsid w:val="2F856CD5"/>
    <w:rsid w:val="2FA473AE"/>
    <w:rsid w:val="2FBE68CE"/>
    <w:rsid w:val="2FC197F6"/>
    <w:rsid w:val="2FCD2E2E"/>
    <w:rsid w:val="2FEA9C5A"/>
    <w:rsid w:val="2FEACC15"/>
    <w:rsid w:val="2FECB234"/>
    <w:rsid w:val="2FF5DE28"/>
    <w:rsid w:val="3010FB16"/>
    <w:rsid w:val="3023A6E9"/>
    <w:rsid w:val="3028EF3E"/>
    <w:rsid w:val="302DE8BE"/>
    <w:rsid w:val="303FD60B"/>
    <w:rsid w:val="30480055"/>
    <w:rsid w:val="304B4429"/>
    <w:rsid w:val="306B51FE"/>
    <w:rsid w:val="306BAA22"/>
    <w:rsid w:val="306CC6BD"/>
    <w:rsid w:val="30728DFD"/>
    <w:rsid w:val="30731CAC"/>
    <w:rsid w:val="30824AA7"/>
    <w:rsid w:val="30839E60"/>
    <w:rsid w:val="30903EF2"/>
    <w:rsid w:val="30AAA848"/>
    <w:rsid w:val="30BB8C37"/>
    <w:rsid w:val="30C3316F"/>
    <w:rsid w:val="30E186E9"/>
    <w:rsid w:val="31202510"/>
    <w:rsid w:val="313FD6A2"/>
    <w:rsid w:val="3153041E"/>
    <w:rsid w:val="3156FDCF"/>
    <w:rsid w:val="31869E91"/>
    <w:rsid w:val="31879A98"/>
    <w:rsid w:val="319A7F8C"/>
    <w:rsid w:val="31AA46D6"/>
    <w:rsid w:val="31BD8ECD"/>
    <w:rsid w:val="31C9B6A1"/>
    <w:rsid w:val="31EF6E13"/>
    <w:rsid w:val="31F7898E"/>
    <w:rsid w:val="320110B5"/>
    <w:rsid w:val="3239DC85"/>
    <w:rsid w:val="32472C2F"/>
    <w:rsid w:val="3258D16E"/>
    <w:rsid w:val="325D1F52"/>
    <w:rsid w:val="325DE1E2"/>
    <w:rsid w:val="32845683"/>
    <w:rsid w:val="3294224F"/>
    <w:rsid w:val="329893D9"/>
    <w:rsid w:val="32A1BF1E"/>
    <w:rsid w:val="32AEDAAF"/>
    <w:rsid w:val="32CCC11A"/>
    <w:rsid w:val="32F33C53"/>
    <w:rsid w:val="33154698"/>
    <w:rsid w:val="33194F41"/>
    <w:rsid w:val="331BE47F"/>
    <w:rsid w:val="3323CE81"/>
    <w:rsid w:val="332CE60C"/>
    <w:rsid w:val="33367460"/>
    <w:rsid w:val="3337E330"/>
    <w:rsid w:val="3343745C"/>
    <w:rsid w:val="33943D07"/>
    <w:rsid w:val="33A450BB"/>
    <w:rsid w:val="33A95FDD"/>
    <w:rsid w:val="33AAB14F"/>
    <w:rsid w:val="33DC57EE"/>
    <w:rsid w:val="33E5FB03"/>
    <w:rsid w:val="33E744FE"/>
    <w:rsid w:val="33F3E831"/>
    <w:rsid w:val="3417852F"/>
    <w:rsid w:val="3427A3ED"/>
    <w:rsid w:val="343BA7DF"/>
    <w:rsid w:val="344D2BEF"/>
    <w:rsid w:val="34564473"/>
    <w:rsid w:val="3464C178"/>
    <w:rsid w:val="347B0A53"/>
    <w:rsid w:val="347C2D43"/>
    <w:rsid w:val="347F9C5E"/>
    <w:rsid w:val="3498FE9A"/>
    <w:rsid w:val="34BBA9C1"/>
    <w:rsid w:val="34D9BD27"/>
    <w:rsid w:val="34DF2EDD"/>
    <w:rsid w:val="34E3402D"/>
    <w:rsid w:val="34E7535C"/>
    <w:rsid w:val="34EC6F19"/>
    <w:rsid w:val="34F494B9"/>
    <w:rsid w:val="34FEE024"/>
    <w:rsid w:val="351F62E1"/>
    <w:rsid w:val="3532F136"/>
    <w:rsid w:val="3534A73B"/>
    <w:rsid w:val="35444B65"/>
    <w:rsid w:val="35509DA6"/>
    <w:rsid w:val="355A988D"/>
    <w:rsid w:val="355C31EC"/>
    <w:rsid w:val="3561E173"/>
    <w:rsid w:val="35863A2F"/>
    <w:rsid w:val="35929631"/>
    <w:rsid w:val="35A1027A"/>
    <w:rsid w:val="35AA81D3"/>
    <w:rsid w:val="35CD69D6"/>
    <w:rsid w:val="35E13E13"/>
    <w:rsid w:val="35F119FF"/>
    <w:rsid w:val="35F2109E"/>
    <w:rsid w:val="35F56383"/>
    <w:rsid w:val="35FB9EE4"/>
    <w:rsid w:val="3600DC3F"/>
    <w:rsid w:val="3602A2A7"/>
    <w:rsid w:val="360A62CB"/>
    <w:rsid w:val="361C15A6"/>
    <w:rsid w:val="361FAAB6"/>
    <w:rsid w:val="362F228C"/>
    <w:rsid w:val="3634E408"/>
    <w:rsid w:val="3635A6E0"/>
    <w:rsid w:val="363D3027"/>
    <w:rsid w:val="3645A777"/>
    <w:rsid w:val="36512291"/>
    <w:rsid w:val="36696F79"/>
    <w:rsid w:val="36760F9E"/>
    <w:rsid w:val="368377BF"/>
    <w:rsid w:val="3691ED5A"/>
    <w:rsid w:val="36AE0072"/>
    <w:rsid w:val="36B301E6"/>
    <w:rsid w:val="36B91EB6"/>
    <w:rsid w:val="36BBF67F"/>
    <w:rsid w:val="36DFB4F1"/>
    <w:rsid w:val="36E84791"/>
    <w:rsid w:val="36E869B8"/>
    <w:rsid w:val="36EF8AFD"/>
    <w:rsid w:val="36F31366"/>
    <w:rsid w:val="3704FCEE"/>
    <w:rsid w:val="370E6526"/>
    <w:rsid w:val="370FA772"/>
    <w:rsid w:val="3718837C"/>
    <w:rsid w:val="37299D81"/>
    <w:rsid w:val="373069FA"/>
    <w:rsid w:val="3736A57C"/>
    <w:rsid w:val="373F9C20"/>
    <w:rsid w:val="374D005C"/>
    <w:rsid w:val="3758C21F"/>
    <w:rsid w:val="3779BF39"/>
    <w:rsid w:val="377E20F3"/>
    <w:rsid w:val="378FAAF3"/>
    <w:rsid w:val="37A42209"/>
    <w:rsid w:val="37B2AE12"/>
    <w:rsid w:val="37FA8F28"/>
    <w:rsid w:val="380C7CF5"/>
    <w:rsid w:val="380F84F9"/>
    <w:rsid w:val="38102CFB"/>
    <w:rsid w:val="381F2043"/>
    <w:rsid w:val="38395634"/>
    <w:rsid w:val="383DBED5"/>
    <w:rsid w:val="3848B679"/>
    <w:rsid w:val="3848BB5C"/>
    <w:rsid w:val="385478BB"/>
    <w:rsid w:val="38729021"/>
    <w:rsid w:val="387E23BE"/>
    <w:rsid w:val="38B526BE"/>
    <w:rsid w:val="38D00BEF"/>
    <w:rsid w:val="38E99B25"/>
    <w:rsid w:val="38F774CF"/>
    <w:rsid w:val="391B253B"/>
    <w:rsid w:val="3920EE49"/>
    <w:rsid w:val="39471094"/>
    <w:rsid w:val="396B6107"/>
    <w:rsid w:val="398728A2"/>
    <w:rsid w:val="39956B42"/>
    <w:rsid w:val="39B84F7F"/>
    <w:rsid w:val="39B8AEB7"/>
    <w:rsid w:val="39C87DED"/>
    <w:rsid w:val="39C91DE2"/>
    <w:rsid w:val="39D24C1B"/>
    <w:rsid w:val="39DCDFF2"/>
    <w:rsid w:val="39DD1267"/>
    <w:rsid w:val="3A0FBE93"/>
    <w:rsid w:val="3A3121F7"/>
    <w:rsid w:val="3A39C33F"/>
    <w:rsid w:val="3A46F3C2"/>
    <w:rsid w:val="3A858142"/>
    <w:rsid w:val="3AAB11F3"/>
    <w:rsid w:val="3AAED1A5"/>
    <w:rsid w:val="3AB79743"/>
    <w:rsid w:val="3ABF4A43"/>
    <w:rsid w:val="3AC72387"/>
    <w:rsid w:val="3AD9F3E6"/>
    <w:rsid w:val="3ADCAA27"/>
    <w:rsid w:val="3B1AAC2C"/>
    <w:rsid w:val="3B259B7A"/>
    <w:rsid w:val="3B2A175A"/>
    <w:rsid w:val="3B327A9A"/>
    <w:rsid w:val="3B6EC255"/>
    <w:rsid w:val="3B70A57C"/>
    <w:rsid w:val="3B73AE6B"/>
    <w:rsid w:val="3B7A13FD"/>
    <w:rsid w:val="3B84D4DA"/>
    <w:rsid w:val="3B86BF83"/>
    <w:rsid w:val="3B953E84"/>
    <w:rsid w:val="3BAAB617"/>
    <w:rsid w:val="3BAE74F3"/>
    <w:rsid w:val="3BD1BB22"/>
    <w:rsid w:val="3BEA569F"/>
    <w:rsid w:val="3C137448"/>
    <w:rsid w:val="3C2A44FD"/>
    <w:rsid w:val="3C395A10"/>
    <w:rsid w:val="3C480744"/>
    <w:rsid w:val="3C497E1C"/>
    <w:rsid w:val="3C596D8E"/>
    <w:rsid w:val="3C63D393"/>
    <w:rsid w:val="3C99F81E"/>
    <w:rsid w:val="3C9ACB05"/>
    <w:rsid w:val="3C9F754B"/>
    <w:rsid w:val="3CC24009"/>
    <w:rsid w:val="3CE8142F"/>
    <w:rsid w:val="3CEE2159"/>
    <w:rsid w:val="3CF31E46"/>
    <w:rsid w:val="3CF7E9BA"/>
    <w:rsid w:val="3D2F722E"/>
    <w:rsid w:val="3D3238B9"/>
    <w:rsid w:val="3D37DC2C"/>
    <w:rsid w:val="3D3AA730"/>
    <w:rsid w:val="3D8E1536"/>
    <w:rsid w:val="3DBC4072"/>
    <w:rsid w:val="3DD7B42C"/>
    <w:rsid w:val="3DF2E5F3"/>
    <w:rsid w:val="3DF8F710"/>
    <w:rsid w:val="3E0BC3B3"/>
    <w:rsid w:val="3E12B00E"/>
    <w:rsid w:val="3E1D3DF4"/>
    <w:rsid w:val="3E4D3606"/>
    <w:rsid w:val="3E51B05D"/>
    <w:rsid w:val="3E522731"/>
    <w:rsid w:val="3E57F95C"/>
    <w:rsid w:val="3E5C628B"/>
    <w:rsid w:val="3E67A958"/>
    <w:rsid w:val="3E67D8AF"/>
    <w:rsid w:val="3E785F96"/>
    <w:rsid w:val="3E898137"/>
    <w:rsid w:val="3E94719A"/>
    <w:rsid w:val="3E992DDB"/>
    <w:rsid w:val="3EAD176C"/>
    <w:rsid w:val="3EC16D87"/>
    <w:rsid w:val="3ED37C1A"/>
    <w:rsid w:val="3EE58F55"/>
    <w:rsid w:val="3EF5E1DA"/>
    <w:rsid w:val="3EFC4B91"/>
    <w:rsid w:val="3EFE2D9C"/>
    <w:rsid w:val="3F07D89B"/>
    <w:rsid w:val="3F16A58C"/>
    <w:rsid w:val="3F21A737"/>
    <w:rsid w:val="3F26696A"/>
    <w:rsid w:val="3F290A3B"/>
    <w:rsid w:val="3F5A3224"/>
    <w:rsid w:val="3F5BA5AB"/>
    <w:rsid w:val="3F5F2AF1"/>
    <w:rsid w:val="3F74FF31"/>
    <w:rsid w:val="3F8313CC"/>
    <w:rsid w:val="3F9A403B"/>
    <w:rsid w:val="3FA6CBF2"/>
    <w:rsid w:val="3FB8BC36"/>
    <w:rsid w:val="3FD18168"/>
    <w:rsid w:val="3FDCAF37"/>
    <w:rsid w:val="40005D7F"/>
    <w:rsid w:val="401CD0C7"/>
    <w:rsid w:val="403AE0FE"/>
    <w:rsid w:val="40803B34"/>
    <w:rsid w:val="40A9B008"/>
    <w:rsid w:val="40AAB75E"/>
    <w:rsid w:val="40AD0ABA"/>
    <w:rsid w:val="40B33447"/>
    <w:rsid w:val="40B4A23D"/>
    <w:rsid w:val="40C6A521"/>
    <w:rsid w:val="40DB5933"/>
    <w:rsid w:val="40E28713"/>
    <w:rsid w:val="40EF6E08"/>
    <w:rsid w:val="40F8A7C7"/>
    <w:rsid w:val="41011191"/>
    <w:rsid w:val="410522F1"/>
    <w:rsid w:val="4105F424"/>
    <w:rsid w:val="4115BAD7"/>
    <w:rsid w:val="411FCFBB"/>
    <w:rsid w:val="412F671A"/>
    <w:rsid w:val="416E52E7"/>
    <w:rsid w:val="4186BCD8"/>
    <w:rsid w:val="418713D6"/>
    <w:rsid w:val="41894904"/>
    <w:rsid w:val="418E9840"/>
    <w:rsid w:val="41986B60"/>
    <w:rsid w:val="41A0E8A5"/>
    <w:rsid w:val="41A6C4E6"/>
    <w:rsid w:val="41B220F2"/>
    <w:rsid w:val="41D7E729"/>
    <w:rsid w:val="41DB9288"/>
    <w:rsid w:val="41EC120D"/>
    <w:rsid w:val="421CA788"/>
    <w:rsid w:val="4220643B"/>
    <w:rsid w:val="42336773"/>
    <w:rsid w:val="424EF64A"/>
    <w:rsid w:val="425777DB"/>
    <w:rsid w:val="4269F087"/>
    <w:rsid w:val="427B014F"/>
    <w:rsid w:val="42BFF43D"/>
    <w:rsid w:val="42C09631"/>
    <w:rsid w:val="42EEC9B9"/>
    <w:rsid w:val="42F8CA20"/>
    <w:rsid w:val="4305F831"/>
    <w:rsid w:val="433219FB"/>
    <w:rsid w:val="434C4E82"/>
    <w:rsid w:val="4367B2B7"/>
    <w:rsid w:val="43736495"/>
    <w:rsid w:val="437B5A7F"/>
    <w:rsid w:val="43C0B04D"/>
    <w:rsid w:val="43CB023F"/>
    <w:rsid w:val="43DA932A"/>
    <w:rsid w:val="43ED792B"/>
    <w:rsid w:val="43EF7839"/>
    <w:rsid w:val="442D9810"/>
    <w:rsid w:val="444F4308"/>
    <w:rsid w:val="4451FF80"/>
    <w:rsid w:val="4457D25B"/>
    <w:rsid w:val="4459C203"/>
    <w:rsid w:val="4470D050"/>
    <w:rsid w:val="44856900"/>
    <w:rsid w:val="44AFE3E4"/>
    <w:rsid w:val="44B742D6"/>
    <w:rsid w:val="44B85EE7"/>
    <w:rsid w:val="44B87369"/>
    <w:rsid w:val="44BF58D0"/>
    <w:rsid w:val="44D87907"/>
    <w:rsid w:val="44ECFB73"/>
    <w:rsid w:val="44F64B27"/>
    <w:rsid w:val="44F8600B"/>
    <w:rsid w:val="4502803B"/>
    <w:rsid w:val="450D3FAA"/>
    <w:rsid w:val="45227884"/>
    <w:rsid w:val="453CE67D"/>
    <w:rsid w:val="453D7C0A"/>
    <w:rsid w:val="45417828"/>
    <w:rsid w:val="4545D9F1"/>
    <w:rsid w:val="455AFA4E"/>
    <w:rsid w:val="45619310"/>
    <w:rsid w:val="456B220F"/>
    <w:rsid w:val="456FDDA2"/>
    <w:rsid w:val="45A8EDD7"/>
    <w:rsid w:val="45ABB0DC"/>
    <w:rsid w:val="45FC6768"/>
    <w:rsid w:val="46033D8C"/>
    <w:rsid w:val="461CA257"/>
    <w:rsid w:val="464516AC"/>
    <w:rsid w:val="4646A423"/>
    <w:rsid w:val="46556B5F"/>
    <w:rsid w:val="46725855"/>
    <w:rsid w:val="46912557"/>
    <w:rsid w:val="46C4D97A"/>
    <w:rsid w:val="46E4D82A"/>
    <w:rsid w:val="46F97AD3"/>
    <w:rsid w:val="472F9D3F"/>
    <w:rsid w:val="4754FD6E"/>
    <w:rsid w:val="4756CCD6"/>
    <w:rsid w:val="475ABE26"/>
    <w:rsid w:val="4777AB35"/>
    <w:rsid w:val="478C235F"/>
    <w:rsid w:val="479A005D"/>
    <w:rsid w:val="47BAF0FD"/>
    <w:rsid w:val="47D51D1B"/>
    <w:rsid w:val="47D70CDD"/>
    <w:rsid w:val="47E97488"/>
    <w:rsid w:val="480FDF2B"/>
    <w:rsid w:val="481D6B4F"/>
    <w:rsid w:val="482E27D7"/>
    <w:rsid w:val="4839E7F7"/>
    <w:rsid w:val="486CF5FC"/>
    <w:rsid w:val="486D9CC8"/>
    <w:rsid w:val="4873F8E3"/>
    <w:rsid w:val="487D109D"/>
    <w:rsid w:val="488008ED"/>
    <w:rsid w:val="48A9BB00"/>
    <w:rsid w:val="48B19067"/>
    <w:rsid w:val="48B8F2A8"/>
    <w:rsid w:val="48C1B365"/>
    <w:rsid w:val="48D55F81"/>
    <w:rsid w:val="48D6EA9B"/>
    <w:rsid w:val="48D7CE4A"/>
    <w:rsid w:val="491D412B"/>
    <w:rsid w:val="4953C3E7"/>
    <w:rsid w:val="4955CCF9"/>
    <w:rsid w:val="49594263"/>
    <w:rsid w:val="497D8B86"/>
    <w:rsid w:val="49912F9E"/>
    <w:rsid w:val="49B87115"/>
    <w:rsid w:val="49B8A3F5"/>
    <w:rsid w:val="49E539A9"/>
    <w:rsid w:val="49E7C1D8"/>
    <w:rsid w:val="49EF0E08"/>
    <w:rsid w:val="49F029D1"/>
    <w:rsid w:val="49F4A06F"/>
    <w:rsid w:val="49FA728C"/>
    <w:rsid w:val="49FA7296"/>
    <w:rsid w:val="49FE2EF2"/>
    <w:rsid w:val="4A08E8AC"/>
    <w:rsid w:val="4A25D0F7"/>
    <w:rsid w:val="4A337040"/>
    <w:rsid w:val="4A4FE32F"/>
    <w:rsid w:val="4A53003A"/>
    <w:rsid w:val="4A84EBFD"/>
    <w:rsid w:val="4A98E178"/>
    <w:rsid w:val="4AA304C0"/>
    <w:rsid w:val="4AAC0861"/>
    <w:rsid w:val="4ABE347B"/>
    <w:rsid w:val="4AEFD468"/>
    <w:rsid w:val="4B00079F"/>
    <w:rsid w:val="4B002639"/>
    <w:rsid w:val="4B06B45B"/>
    <w:rsid w:val="4B0776D7"/>
    <w:rsid w:val="4B0C1B2E"/>
    <w:rsid w:val="4B1553EE"/>
    <w:rsid w:val="4B187273"/>
    <w:rsid w:val="4B2A0320"/>
    <w:rsid w:val="4B34AFFA"/>
    <w:rsid w:val="4B3776C2"/>
    <w:rsid w:val="4B4C3509"/>
    <w:rsid w:val="4B58BB30"/>
    <w:rsid w:val="4B623C94"/>
    <w:rsid w:val="4B6417BC"/>
    <w:rsid w:val="4B79717E"/>
    <w:rsid w:val="4B8B4E09"/>
    <w:rsid w:val="4B949AF4"/>
    <w:rsid w:val="4BA84247"/>
    <w:rsid w:val="4BAC7778"/>
    <w:rsid w:val="4BAE62A7"/>
    <w:rsid w:val="4BB9C4E0"/>
    <w:rsid w:val="4BBAE934"/>
    <w:rsid w:val="4BCEAAD7"/>
    <w:rsid w:val="4BD148BC"/>
    <w:rsid w:val="4BE30E43"/>
    <w:rsid w:val="4BFF4B8A"/>
    <w:rsid w:val="4C0B89F1"/>
    <w:rsid w:val="4C1734A0"/>
    <w:rsid w:val="4C1CCB19"/>
    <w:rsid w:val="4C42B148"/>
    <w:rsid w:val="4C523926"/>
    <w:rsid w:val="4C701947"/>
    <w:rsid w:val="4C80B4A5"/>
    <w:rsid w:val="4CB078AE"/>
    <w:rsid w:val="4CB1C8F3"/>
    <w:rsid w:val="4CCD98CE"/>
    <w:rsid w:val="4CD1C7C1"/>
    <w:rsid w:val="4CDF1825"/>
    <w:rsid w:val="4CF0E750"/>
    <w:rsid w:val="4CFB2859"/>
    <w:rsid w:val="4D24F7D5"/>
    <w:rsid w:val="4D280858"/>
    <w:rsid w:val="4D356FB6"/>
    <w:rsid w:val="4D410239"/>
    <w:rsid w:val="4D4C9285"/>
    <w:rsid w:val="4D56C7B0"/>
    <w:rsid w:val="4D5DAC1C"/>
    <w:rsid w:val="4D5F0E90"/>
    <w:rsid w:val="4D60AA0F"/>
    <w:rsid w:val="4D6F1C65"/>
    <w:rsid w:val="4D70E9EE"/>
    <w:rsid w:val="4D819991"/>
    <w:rsid w:val="4D8CA3B7"/>
    <w:rsid w:val="4DFC374D"/>
    <w:rsid w:val="4DFE8CBD"/>
    <w:rsid w:val="4E075064"/>
    <w:rsid w:val="4E0750DA"/>
    <w:rsid w:val="4E3D92B7"/>
    <w:rsid w:val="4E56BB03"/>
    <w:rsid w:val="4E6C28E8"/>
    <w:rsid w:val="4E7F916F"/>
    <w:rsid w:val="4E83336F"/>
    <w:rsid w:val="4E94AF89"/>
    <w:rsid w:val="4EA2B0B7"/>
    <w:rsid w:val="4EC16A65"/>
    <w:rsid w:val="4EDB64FD"/>
    <w:rsid w:val="4EDDF18F"/>
    <w:rsid w:val="4EF9C35E"/>
    <w:rsid w:val="4F02F8B4"/>
    <w:rsid w:val="4F0A6A11"/>
    <w:rsid w:val="4F17B5B2"/>
    <w:rsid w:val="4F2302F3"/>
    <w:rsid w:val="4F2E285D"/>
    <w:rsid w:val="4F2F209A"/>
    <w:rsid w:val="4F4515B8"/>
    <w:rsid w:val="4F57B155"/>
    <w:rsid w:val="4F785689"/>
    <w:rsid w:val="4F7A83ED"/>
    <w:rsid w:val="4F93ADCF"/>
    <w:rsid w:val="4FACB1A3"/>
    <w:rsid w:val="4FAF505D"/>
    <w:rsid w:val="4FCC99A7"/>
    <w:rsid w:val="4FD420CE"/>
    <w:rsid w:val="4FDADEC5"/>
    <w:rsid w:val="4FDE4326"/>
    <w:rsid w:val="4FF79704"/>
    <w:rsid w:val="4FFCDF5B"/>
    <w:rsid w:val="500A0202"/>
    <w:rsid w:val="501616DA"/>
    <w:rsid w:val="5039372E"/>
    <w:rsid w:val="506F24F2"/>
    <w:rsid w:val="506F5E03"/>
    <w:rsid w:val="507D6EF7"/>
    <w:rsid w:val="50876720"/>
    <w:rsid w:val="5097FF48"/>
    <w:rsid w:val="509F8679"/>
    <w:rsid w:val="50A3C1A2"/>
    <w:rsid w:val="50BB3678"/>
    <w:rsid w:val="50DAE1C0"/>
    <w:rsid w:val="50F944C7"/>
    <w:rsid w:val="51089297"/>
    <w:rsid w:val="511BC258"/>
    <w:rsid w:val="51265B4E"/>
    <w:rsid w:val="5127AEA2"/>
    <w:rsid w:val="5146846B"/>
    <w:rsid w:val="515D86E2"/>
    <w:rsid w:val="516179EE"/>
    <w:rsid w:val="517964B7"/>
    <w:rsid w:val="5179A858"/>
    <w:rsid w:val="517D2DB2"/>
    <w:rsid w:val="51A1F84E"/>
    <w:rsid w:val="51A83B25"/>
    <w:rsid w:val="51AB7937"/>
    <w:rsid w:val="51B79196"/>
    <w:rsid w:val="51E1792F"/>
    <w:rsid w:val="51E4DED2"/>
    <w:rsid w:val="52037D03"/>
    <w:rsid w:val="5208E70B"/>
    <w:rsid w:val="520C86F0"/>
    <w:rsid w:val="520F736F"/>
    <w:rsid w:val="521CD327"/>
    <w:rsid w:val="5234964D"/>
    <w:rsid w:val="5247BD70"/>
    <w:rsid w:val="5251C110"/>
    <w:rsid w:val="525E2A0B"/>
    <w:rsid w:val="52722DFD"/>
    <w:rsid w:val="527275DE"/>
    <w:rsid w:val="52A6916D"/>
    <w:rsid w:val="52BBB447"/>
    <w:rsid w:val="52C03FEB"/>
    <w:rsid w:val="52CFBF3A"/>
    <w:rsid w:val="52D1F336"/>
    <w:rsid w:val="52E2B02A"/>
    <w:rsid w:val="52E5C049"/>
    <w:rsid w:val="5326E4B6"/>
    <w:rsid w:val="53646004"/>
    <w:rsid w:val="5387CD58"/>
    <w:rsid w:val="53971509"/>
    <w:rsid w:val="53985FBD"/>
    <w:rsid w:val="53A5C447"/>
    <w:rsid w:val="53ADA571"/>
    <w:rsid w:val="53BB040A"/>
    <w:rsid w:val="53BB6C58"/>
    <w:rsid w:val="53C01B76"/>
    <w:rsid w:val="53C49E2D"/>
    <w:rsid w:val="53D44381"/>
    <w:rsid w:val="54254E4F"/>
    <w:rsid w:val="543036F0"/>
    <w:rsid w:val="54417818"/>
    <w:rsid w:val="54562B10"/>
    <w:rsid w:val="545DF0A0"/>
    <w:rsid w:val="547912D7"/>
    <w:rsid w:val="547B92C2"/>
    <w:rsid w:val="54848799"/>
    <w:rsid w:val="5485F650"/>
    <w:rsid w:val="5498BFBB"/>
    <w:rsid w:val="54ABBA13"/>
    <w:rsid w:val="54C41FDF"/>
    <w:rsid w:val="54CBA498"/>
    <w:rsid w:val="54E017F8"/>
    <w:rsid w:val="54E63624"/>
    <w:rsid w:val="551143A2"/>
    <w:rsid w:val="554417AB"/>
    <w:rsid w:val="55676AD0"/>
    <w:rsid w:val="55922D6B"/>
    <w:rsid w:val="559730F8"/>
    <w:rsid w:val="55D4F4A6"/>
    <w:rsid w:val="55ED4D4B"/>
    <w:rsid w:val="55FF0863"/>
    <w:rsid w:val="56101EB8"/>
    <w:rsid w:val="562BBC54"/>
    <w:rsid w:val="563B3752"/>
    <w:rsid w:val="5653C386"/>
    <w:rsid w:val="5659579C"/>
    <w:rsid w:val="565DFE60"/>
    <w:rsid w:val="5664B460"/>
    <w:rsid w:val="5671D413"/>
    <w:rsid w:val="567A260D"/>
    <w:rsid w:val="569E0699"/>
    <w:rsid w:val="56A13978"/>
    <w:rsid w:val="56A4E690"/>
    <w:rsid w:val="56A7EF6E"/>
    <w:rsid w:val="56DFDA81"/>
    <w:rsid w:val="56E9CCD5"/>
    <w:rsid w:val="56F2B41C"/>
    <w:rsid w:val="5700BDDB"/>
    <w:rsid w:val="57018C6F"/>
    <w:rsid w:val="5713EF4F"/>
    <w:rsid w:val="571F73F2"/>
    <w:rsid w:val="5731ED73"/>
    <w:rsid w:val="57376E69"/>
    <w:rsid w:val="5754D9CC"/>
    <w:rsid w:val="575518DB"/>
    <w:rsid w:val="575908EA"/>
    <w:rsid w:val="577A8140"/>
    <w:rsid w:val="577FC7C0"/>
    <w:rsid w:val="578E4B1D"/>
    <w:rsid w:val="57907D57"/>
    <w:rsid w:val="57A61FFE"/>
    <w:rsid w:val="57B9351A"/>
    <w:rsid w:val="57C8C195"/>
    <w:rsid w:val="57F6C522"/>
    <w:rsid w:val="57F8D0ED"/>
    <w:rsid w:val="580A485A"/>
    <w:rsid w:val="581A5C67"/>
    <w:rsid w:val="581FC84D"/>
    <w:rsid w:val="583537C0"/>
    <w:rsid w:val="58444956"/>
    <w:rsid w:val="58641D9C"/>
    <w:rsid w:val="5887CFCF"/>
    <w:rsid w:val="58919BB8"/>
    <w:rsid w:val="5891E5B8"/>
    <w:rsid w:val="589B9F18"/>
    <w:rsid w:val="589E0291"/>
    <w:rsid w:val="58A38015"/>
    <w:rsid w:val="58AF1CF7"/>
    <w:rsid w:val="58B61AE4"/>
    <w:rsid w:val="58B924D7"/>
    <w:rsid w:val="58D56F4A"/>
    <w:rsid w:val="58D6233E"/>
    <w:rsid w:val="58E0FBBA"/>
    <w:rsid w:val="58F77501"/>
    <w:rsid w:val="5909EBD7"/>
    <w:rsid w:val="590C9DFE"/>
    <w:rsid w:val="591298EB"/>
    <w:rsid w:val="591BB590"/>
    <w:rsid w:val="59255E86"/>
    <w:rsid w:val="59274B51"/>
    <w:rsid w:val="592F75AD"/>
    <w:rsid w:val="59304056"/>
    <w:rsid w:val="594EB5A7"/>
    <w:rsid w:val="59509D70"/>
    <w:rsid w:val="595F3330"/>
    <w:rsid w:val="59811F9A"/>
    <w:rsid w:val="5985EF4C"/>
    <w:rsid w:val="5995175A"/>
    <w:rsid w:val="599DA991"/>
    <w:rsid w:val="59AAA9E4"/>
    <w:rsid w:val="59AAE2D4"/>
    <w:rsid w:val="59AF95CC"/>
    <w:rsid w:val="59BBF46B"/>
    <w:rsid w:val="59CC4DD8"/>
    <w:rsid w:val="59D0B6FA"/>
    <w:rsid w:val="59DD584D"/>
    <w:rsid w:val="5A22C990"/>
    <w:rsid w:val="5A242AB3"/>
    <w:rsid w:val="5A251A8B"/>
    <w:rsid w:val="5A26BFD4"/>
    <w:rsid w:val="5A290D7E"/>
    <w:rsid w:val="5A32D28A"/>
    <w:rsid w:val="5A4F5423"/>
    <w:rsid w:val="5A6DE866"/>
    <w:rsid w:val="5A82057E"/>
    <w:rsid w:val="5A865611"/>
    <w:rsid w:val="5ADB19D3"/>
    <w:rsid w:val="5AEBA40F"/>
    <w:rsid w:val="5AF2D336"/>
    <w:rsid w:val="5AFD5962"/>
    <w:rsid w:val="5B105FB1"/>
    <w:rsid w:val="5B225269"/>
    <w:rsid w:val="5B2D489F"/>
    <w:rsid w:val="5B381456"/>
    <w:rsid w:val="5B3A5092"/>
    <w:rsid w:val="5B3BF4B2"/>
    <w:rsid w:val="5B476DB9"/>
    <w:rsid w:val="5B4EB63C"/>
    <w:rsid w:val="5B872AC6"/>
    <w:rsid w:val="5B8DC9F7"/>
    <w:rsid w:val="5B9469B8"/>
    <w:rsid w:val="5B956AAA"/>
    <w:rsid w:val="5B987A1A"/>
    <w:rsid w:val="5BC7A943"/>
    <w:rsid w:val="5BD35708"/>
    <w:rsid w:val="5BD7ACEC"/>
    <w:rsid w:val="5BDB079E"/>
    <w:rsid w:val="5BE2D9EF"/>
    <w:rsid w:val="5C33740A"/>
    <w:rsid w:val="5C4171A1"/>
    <w:rsid w:val="5C47E4C4"/>
    <w:rsid w:val="5C74AB39"/>
    <w:rsid w:val="5C78BDEE"/>
    <w:rsid w:val="5C7AF5F3"/>
    <w:rsid w:val="5C84CAB5"/>
    <w:rsid w:val="5C87EA5C"/>
    <w:rsid w:val="5CB3461D"/>
    <w:rsid w:val="5CB355F2"/>
    <w:rsid w:val="5CB6C73C"/>
    <w:rsid w:val="5CF0033D"/>
    <w:rsid w:val="5CF28DE2"/>
    <w:rsid w:val="5CF45ACB"/>
    <w:rsid w:val="5CFB191E"/>
    <w:rsid w:val="5D05780D"/>
    <w:rsid w:val="5D128A67"/>
    <w:rsid w:val="5D2118FB"/>
    <w:rsid w:val="5D287244"/>
    <w:rsid w:val="5D376A3B"/>
    <w:rsid w:val="5D3A0010"/>
    <w:rsid w:val="5D435988"/>
    <w:rsid w:val="5D4C5B65"/>
    <w:rsid w:val="5D578870"/>
    <w:rsid w:val="5D6960F7"/>
    <w:rsid w:val="5D6C61DD"/>
    <w:rsid w:val="5D878C4A"/>
    <w:rsid w:val="5D9D121B"/>
    <w:rsid w:val="5DAC128F"/>
    <w:rsid w:val="5DCAF447"/>
    <w:rsid w:val="5DD986AF"/>
    <w:rsid w:val="5DDD7C7A"/>
    <w:rsid w:val="5DEB23BC"/>
    <w:rsid w:val="5DED8725"/>
    <w:rsid w:val="5DFDB2D2"/>
    <w:rsid w:val="5DFF18F1"/>
    <w:rsid w:val="5E4BBD00"/>
    <w:rsid w:val="5E643E78"/>
    <w:rsid w:val="5E644695"/>
    <w:rsid w:val="5E64C74F"/>
    <w:rsid w:val="5E6A4EF4"/>
    <w:rsid w:val="5E7D2E21"/>
    <w:rsid w:val="5ECCBB71"/>
    <w:rsid w:val="5EFE5CDA"/>
    <w:rsid w:val="5F05BC31"/>
    <w:rsid w:val="5F091362"/>
    <w:rsid w:val="5F0FBA65"/>
    <w:rsid w:val="5F1EA20D"/>
    <w:rsid w:val="5F312D79"/>
    <w:rsid w:val="5F327DA5"/>
    <w:rsid w:val="5F4095F8"/>
    <w:rsid w:val="5F6830E3"/>
    <w:rsid w:val="5F81336A"/>
    <w:rsid w:val="5FE6D972"/>
    <w:rsid w:val="5FEE3353"/>
    <w:rsid w:val="6000981D"/>
    <w:rsid w:val="6003662B"/>
    <w:rsid w:val="6017914E"/>
    <w:rsid w:val="60327F76"/>
    <w:rsid w:val="604DAD19"/>
    <w:rsid w:val="6057EBC7"/>
    <w:rsid w:val="605F1029"/>
    <w:rsid w:val="607064C2"/>
    <w:rsid w:val="60972352"/>
    <w:rsid w:val="60A71B6F"/>
    <w:rsid w:val="60AA26E1"/>
    <w:rsid w:val="60AA8C09"/>
    <w:rsid w:val="60B06DEE"/>
    <w:rsid w:val="60CA3D69"/>
    <w:rsid w:val="60DF7252"/>
    <w:rsid w:val="60EFE581"/>
    <w:rsid w:val="60F42F59"/>
    <w:rsid w:val="610027D0"/>
    <w:rsid w:val="612A7334"/>
    <w:rsid w:val="6138484B"/>
    <w:rsid w:val="613B1C42"/>
    <w:rsid w:val="61409022"/>
    <w:rsid w:val="617EE175"/>
    <w:rsid w:val="619ADAC4"/>
    <w:rsid w:val="619CACB0"/>
    <w:rsid w:val="61ABBFF3"/>
    <w:rsid w:val="61B2A8D5"/>
    <w:rsid w:val="61BFD73D"/>
    <w:rsid w:val="61E4A8FF"/>
    <w:rsid w:val="61E508A2"/>
    <w:rsid w:val="61EC7EB9"/>
    <w:rsid w:val="61FAA983"/>
    <w:rsid w:val="61FD478F"/>
    <w:rsid w:val="61FDDBA2"/>
    <w:rsid w:val="6205F597"/>
    <w:rsid w:val="6214FC1B"/>
    <w:rsid w:val="6249EC9C"/>
    <w:rsid w:val="624F85EB"/>
    <w:rsid w:val="62656247"/>
    <w:rsid w:val="627A26E5"/>
    <w:rsid w:val="627B1E40"/>
    <w:rsid w:val="629822F0"/>
    <w:rsid w:val="629BD2D8"/>
    <w:rsid w:val="62A4D831"/>
    <w:rsid w:val="62ADC97B"/>
    <w:rsid w:val="62D4128D"/>
    <w:rsid w:val="62FAE88F"/>
    <w:rsid w:val="62FFFB80"/>
    <w:rsid w:val="630418E8"/>
    <w:rsid w:val="630B45A1"/>
    <w:rsid w:val="630C38A4"/>
    <w:rsid w:val="6328536D"/>
    <w:rsid w:val="6331726B"/>
    <w:rsid w:val="634740B0"/>
    <w:rsid w:val="634FD9EB"/>
    <w:rsid w:val="635AA438"/>
    <w:rsid w:val="63996270"/>
    <w:rsid w:val="63A29132"/>
    <w:rsid w:val="63ABDD8D"/>
    <w:rsid w:val="63B69B43"/>
    <w:rsid w:val="63C557C1"/>
    <w:rsid w:val="63D12B6F"/>
    <w:rsid w:val="63D8AC4A"/>
    <w:rsid w:val="63F7F2CE"/>
    <w:rsid w:val="641AB2F9"/>
    <w:rsid w:val="643A7B98"/>
    <w:rsid w:val="643BE2DC"/>
    <w:rsid w:val="64416ED2"/>
    <w:rsid w:val="64565970"/>
    <w:rsid w:val="6458842C"/>
    <w:rsid w:val="64649B33"/>
    <w:rsid w:val="64675AE6"/>
    <w:rsid w:val="6490CC67"/>
    <w:rsid w:val="64AD8670"/>
    <w:rsid w:val="64C46C44"/>
    <w:rsid w:val="64C76CB0"/>
    <w:rsid w:val="64CBCC8B"/>
    <w:rsid w:val="64CDC988"/>
    <w:rsid w:val="64D370F6"/>
    <w:rsid w:val="64DB2B01"/>
    <w:rsid w:val="64F87888"/>
    <w:rsid w:val="651EF64B"/>
    <w:rsid w:val="652BEB25"/>
    <w:rsid w:val="654CF861"/>
    <w:rsid w:val="654F23B3"/>
    <w:rsid w:val="6553ABA7"/>
    <w:rsid w:val="65605194"/>
    <w:rsid w:val="65719BFE"/>
    <w:rsid w:val="65792E27"/>
    <w:rsid w:val="657B0EA8"/>
    <w:rsid w:val="6589FD3D"/>
    <w:rsid w:val="65A8E677"/>
    <w:rsid w:val="65B3F66F"/>
    <w:rsid w:val="65BE407E"/>
    <w:rsid w:val="65C051C4"/>
    <w:rsid w:val="65D5388F"/>
    <w:rsid w:val="65DAC3FA"/>
    <w:rsid w:val="65DEE4D8"/>
    <w:rsid w:val="65DF1898"/>
    <w:rsid w:val="65E84169"/>
    <w:rsid w:val="65F8345A"/>
    <w:rsid w:val="65FA8411"/>
    <w:rsid w:val="6615B4D1"/>
    <w:rsid w:val="663A9436"/>
    <w:rsid w:val="664FB792"/>
    <w:rsid w:val="666625A2"/>
    <w:rsid w:val="66692281"/>
    <w:rsid w:val="6678D809"/>
    <w:rsid w:val="667B30FD"/>
    <w:rsid w:val="66B377E1"/>
    <w:rsid w:val="66D16F7B"/>
    <w:rsid w:val="66D3F765"/>
    <w:rsid w:val="66DA9E62"/>
    <w:rsid w:val="66E9192C"/>
    <w:rsid w:val="66E9BFA0"/>
    <w:rsid w:val="66F15C05"/>
    <w:rsid w:val="67105B6A"/>
    <w:rsid w:val="67179FD2"/>
    <w:rsid w:val="671892FF"/>
    <w:rsid w:val="67200E88"/>
    <w:rsid w:val="67344581"/>
    <w:rsid w:val="673B9CF2"/>
    <w:rsid w:val="676C4CC0"/>
    <w:rsid w:val="6777D0E0"/>
    <w:rsid w:val="6777D59C"/>
    <w:rsid w:val="679128F8"/>
    <w:rsid w:val="679441C8"/>
    <w:rsid w:val="679626F1"/>
    <w:rsid w:val="67B6402B"/>
    <w:rsid w:val="67C18188"/>
    <w:rsid w:val="67DCC664"/>
    <w:rsid w:val="67DD87D4"/>
    <w:rsid w:val="67F4EBEC"/>
    <w:rsid w:val="68284F23"/>
    <w:rsid w:val="682B0EAD"/>
    <w:rsid w:val="683FD813"/>
    <w:rsid w:val="68518D4F"/>
    <w:rsid w:val="686175D2"/>
    <w:rsid w:val="6867CC54"/>
    <w:rsid w:val="686DB3AB"/>
    <w:rsid w:val="686ED2A8"/>
    <w:rsid w:val="687E8E3B"/>
    <w:rsid w:val="68A6C6D0"/>
    <w:rsid w:val="68C2A473"/>
    <w:rsid w:val="68C9987B"/>
    <w:rsid w:val="68CEBDC3"/>
    <w:rsid w:val="68DA6A8E"/>
    <w:rsid w:val="6974AD5B"/>
    <w:rsid w:val="69781D36"/>
    <w:rsid w:val="697AE518"/>
    <w:rsid w:val="699B5043"/>
    <w:rsid w:val="69ACD2D8"/>
    <w:rsid w:val="69B29F37"/>
    <w:rsid w:val="69BD00C0"/>
    <w:rsid w:val="69CC75E1"/>
    <w:rsid w:val="69E6A9DA"/>
    <w:rsid w:val="69F4F852"/>
    <w:rsid w:val="6A049259"/>
    <w:rsid w:val="6A063C72"/>
    <w:rsid w:val="6A18409C"/>
    <w:rsid w:val="6A5624FC"/>
    <w:rsid w:val="6A6E3916"/>
    <w:rsid w:val="6A884918"/>
    <w:rsid w:val="6ACC94E3"/>
    <w:rsid w:val="6AD507C0"/>
    <w:rsid w:val="6ADB2321"/>
    <w:rsid w:val="6B001F64"/>
    <w:rsid w:val="6B0ADA1A"/>
    <w:rsid w:val="6B198622"/>
    <w:rsid w:val="6B1C8506"/>
    <w:rsid w:val="6B1EA0D3"/>
    <w:rsid w:val="6B392222"/>
    <w:rsid w:val="6B3DC294"/>
    <w:rsid w:val="6B631A80"/>
    <w:rsid w:val="6B635439"/>
    <w:rsid w:val="6B679CC2"/>
    <w:rsid w:val="6BE80EDE"/>
    <w:rsid w:val="6BFA68A4"/>
    <w:rsid w:val="6C17B77D"/>
    <w:rsid w:val="6C21FFA7"/>
    <w:rsid w:val="6C580113"/>
    <w:rsid w:val="6C68736A"/>
    <w:rsid w:val="6C6B3F7C"/>
    <w:rsid w:val="6C7E5D01"/>
    <w:rsid w:val="6C825454"/>
    <w:rsid w:val="6C9366C8"/>
    <w:rsid w:val="6CA6A895"/>
    <w:rsid w:val="6CA913DA"/>
    <w:rsid w:val="6CB4BC9C"/>
    <w:rsid w:val="6CBFDC54"/>
    <w:rsid w:val="6CCCF0F3"/>
    <w:rsid w:val="6CCE49B4"/>
    <w:rsid w:val="6CD091C2"/>
    <w:rsid w:val="6CD1E110"/>
    <w:rsid w:val="6CD62637"/>
    <w:rsid w:val="6CE1EFBA"/>
    <w:rsid w:val="6CE5A17E"/>
    <w:rsid w:val="6CE6E1C4"/>
    <w:rsid w:val="6CE7ED50"/>
    <w:rsid w:val="6CEC365F"/>
    <w:rsid w:val="6CFAFEFE"/>
    <w:rsid w:val="6D371DA0"/>
    <w:rsid w:val="6D40A477"/>
    <w:rsid w:val="6D45C2A9"/>
    <w:rsid w:val="6D5136C3"/>
    <w:rsid w:val="6D5A6826"/>
    <w:rsid w:val="6D5F2F9A"/>
    <w:rsid w:val="6D70FFD2"/>
    <w:rsid w:val="6D76F56E"/>
    <w:rsid w:val="6D9DA27C"/>
    <w:rsid w:val="6DAC7269"/>
    <w:rsid w:val="6DD56183"/>
    <w:rsid w:val="6E1CA0DA"/>
    <w:rsid w:val="6E2CF02D"/>
    <w:rsid w:val="6E2D6ED5"/>
    <w:rsid w:val="6E2ED201"/>
    <w:rsid w:val="6E30B008"/>
    <w:rsid w:val="6E33F3C3"/>
    <w:rsid w:val="6E3C37D1"/>
    <w:rsid w:val="6E4C8B7F"/>
    <w:rsid w:val="6E5F3F06"/>
    <w:rsid w:val="6E607107"/>
    <w:rsid w:val="6E680312"/>
    <w:rsid w:val="6E6DC2E9"/>
    <w:rsid w:val="6EC07B9B"/>
    <w:rsid w:val="6ED33BC1"/>
    <w:rsid w:val="6EE06D37"/>
    <w:rsid w:val="6EE3DC66"/>
    <w:rsid w:val="6EFAD9B4"/>
    <w:rsid w:val="6EFEAE4A"/>
    <w:rsid w:val="6F0960EB"/>
    <w:rsid w:val="6F14A78E"/>
    <w:rsid w:val="6F14E848"/>
    <w:rsid w:val="6F1F74EC"/>
    <w:rsid w:val="6F29EC51"/>
    <w:rsid w:val="6F36C314"/>
    <w:rsid w:val="6FA44926"/>
    <w:rsid w:val="6FCCFC0A"/>
    <w:rsid w:val="6FD6785F"/>
    <w:rsid w:val="6FE3F410"/>
    <w:rsid w:val="7011A395"/>
    <w:rsid w:val="7013C05F"/>
    <w:rsid w:val="70277DC1"/>
    <w:rsid w:val="7030B9E1"/>
    <w:rsid w:val="703CD692"/>
    <w:rsid w:val="705E064B"/>
    <w:rsid w:val="7076C643"/>
    <w:rsid w:val="708FEAA4"/>
    <w:rsid w:val="70A99CE1"/>
    <w:rsid w:val="70CBBB12"/>
    <w:rsid w:val="711B17E4"/>
    <w:rsid w:val="71391376"/>
    <w:rsid w:val="71479A3E"/>
    <w:rsid w:val="714F4771"/>
    <w:rsid w:val="715B9392"/>
    <w:rsid w:val="7160A04C"/>
    <w:rsid w:val="718AA198"/>
    <w:rsid w:val="719C955D"/>
    <w:rsid w:val="71A160C5"/>
    <w:rsid w:val="71AE4A41"/>
    <w:rsid w:val="71C5EDFA"/>
    <w:rsid w:val="71D707E2"/>
    <w:rsid w:val="720350B3"/>
    <w:rsid w:val="7212A9C6"/>
    <w:rsid w:val="72283940"/>
    <w:rsid w:val="722CA36D"/>
    <w:rsid w:val="7245FF80"/>
    <w:rsid w:val="7248B049"/>
    <w:rsid w:val="7258558F"/>
    <w:rsid w:val="7273657F"/>
    <w:rsid w:val="72903F57"/>
    <w:rsid w:val="72AEDA71"/>
    <w:rsid w:val="72BCB395"/>
    <w:rsid w:val="72C4A8D3"/>
    <w:rsid w:val="72C61D68"/>
    <w:rsid w:val="72DF1451"/>
    <w:rsid w:val="72E457C0"/>
    <w:rsid w:val="731C31B9"/>
    <w:rsid w:val="732FBA64"/>
    <w:rsid w:val="7337D5A3"/>
    <w:rsid w:val="733B8C39"/>
    <w:rsid w:val="734085FC"/>
    <w:rsid w:val="73474A6E"/>
    <w:rsid w:val="735907B4"/>
    <w:rsid w:val="7368D814"/>
    <w:rsid w:val="7369B9A1"/>
    <w:rsid w:val="736A1233"/>
    <w:rsid w:val="7380545C"/>
    <w:rsid w:val="739463E0"/>
    <w:rsid w:val="73A44E95"/>
    <w:rsid w:val="73A91D8D"/>
    <w:rsid w:val="73AD2F07"/>
    <w:rsid w:val="73BEE63B"/>
    <w:rsid w:val="73BEF76C"/>
    <w:rsid w:val="73C547F9"/>
    <w:rsid w:val="73E15B27"/>
    <w:rsid w:val="741C980F"/>
    <w:rsid w:val="7433B3D5"/>
    <w:rsid w:val="744EB596"/>
    <w:rsid w:val="74578656"/>
    <w:rsid w:val="745A7D38"/>
    <w:rsid w:val="7476B26E"/>
    <w:rsid w:val="74777F99"/>
    <w:rsid w:val="74910729"/>
    <w:rsid w:val="74B0E0DC"/>
    <w:rsid w:val="74E28D98"/>
    <w:rsid w:val="74FA7D6B"/>
    <w:rsid w:val="74FFC224"/>
    <w:rsid w:val="7525E6E8"/>
    <w:rsid w:val="75273C47"/>
    <w:rsid w:val="752BD821"/>
    <w:rsid w:val="752CBBE0"/>
    <w:rsid w:val="75362D34"/>
    <w:rsid w:val="7538D840"/>
    <w:rsid w:val="754F1435"/>
    <w:rsid w:val="7559B64C"/>
    <w:rsid w:val="75704A7B"/>
    <w:rsid w:val="7570F96C"/>
    <w:rsid w:val="75A420C1"/>
    <w:rsid w:val="75ECD8E3"/>
    <w:rsid w:val="7606A1A5"/>
    <w:rsid w:val="760A7726"/>
    <w:rsid w:val="761164C7"/>
    <w:rsid w:val="7620A089"/>
    <w:rsid w:val="7630E618"/>
    <w:rsid w:val="7647A032"/>
    <w:rsid w:val="76509C66"/>
    <w:rsid w:val="7657065C"/>
    <w:rsid w:val="76695CF5"/>
    <w:rsid w:val="76803359"/>
    <w:rsid w:val="768C72F4"/>
    <w:rsid w:val="76B5C666"/>
    <w:rsid w:val="76BE702B"/>
    <w:rsid w:val="76E2410D"/>
    <w:rsid w:val="76ED5E21"/>
    <w:rsid w:val="7704FE61"/>
    <w:rsid w:val="771FCC74"/>
    <w:rsid w:val="77240ED9"/>
    <w:rsid w:val="7725248D"/>
    <w:rsid w:val="775FAFB7"/>
    <w:rsid w:val="775FE8FB"/>
    <w:rsid w:val="777EA90E"/>
    <w:rsid w:val="7781CCFD"/>
    <w:rsid w:val="7783D6EC"/>
    <w:rsid w:val="77908ABA"/>
    <w:rsid w:val="77B55130"/>
    <w:rsid w:val="77C6C42E"/>
    <w:rsid w:val="77C9D1DD"/>
    <w:rsid w:val="77F8227F"/>
    <w:rsid w:val="780CDF4B"/>
    <w:rsid w:val="781FA6C9"/>
    <w:rsid w:val="7828BA1B"/>
    <w:rsid w:val="782DBB00"/>
    <w:rsid w:val="7833F7BE"/>
    <w:rsid w:val="783740CC"/>
    <w:rsid w:val="7872BD05"/>
    <w:rsid w:val="787CA9B2"/>
    <w:rsid w:val="788094F3"/>
    <w:rsid w:val="7889EE1A"/>
    <w:rsid w:val="78900DDB"/>
    <w:rsid w:val="7894FB71"/>
    <w:rsid w:val="789627EA"/>
    <w:rsid w:val="78A64181"/>
    <w:rsid w:val="78BE27CF"/>
    <w:rsid w:val="78D2A1AA"/>
    <w:rsid w:val="78D8FFA1"/>
    <w:rsid w:val="78E93959"/>
    <w:rsid w:val="78EA1759"/>
    <w:rsid w:val="79172826"/>
    <w:rsid w:val="7918CF05"/>
    <w:rsid w:val="791BEAAE"/>
    <w:rsid w:val="79299BB2"/>
    <w:rsid w:val="792D4EA7"/>
    <w:rsid w:val="7933D12E"/>
    <w:rsid w:val="793E2052"/>
    <w:rsid w:val="79574113"/>
    <w:rsid w:val="796112C3"/>
    <w:rsid w:val="796F5BAC"/>
    <w:rsid w:val="7974E2D5"/>
    <w:rsid w:val="79820751"/>
    <w:rsid w:val="798DB368"/>
    <w:rsid w:val="799A8C6D"/>
    <w:rsid w:val="799DAD84"/>
    <w:rsid w:val="799E4098"/>
    <w:rsid w:val="79A3DE5E"/>
    <w:rsid w:val="79B20DA0"/>
    <w:rsid w:val="79B510FE"/>
    <w:rsid w:val="79D0DB86"/>
    <w:rsid w:val="79E095C7"/>
    <w:rsid w:val="79F4A9B6"/>
    <w:rsid w:val="7A232130"/>
    <w:rsid w:val="7A311166"/>
    <w:rsid w:val="7A3572AC"/>
    <w:rsid w:val="7A3F2534"/>
    <w:rsid w:val="7A5166CB"/>
    <w:rsid w:val="7A73049A"/>
    <w:rsid w:val="7A7B771A"/>
    <w:rsid w:val="7A9056D2"/>
    <w:rsid w:val="7A9517B0"/>
    <w:rsid w:val="7A9F9BCA"/>
    <w:rsid w:val="7AC82A7C"/>
    <w:rsid w:val="7AD15D7E"/>
    <w:rsid w:val="7AD7DAAA"/>
    <w:rsid w:val="7AE45F78"/>
    <w:rsid w:val="7B049BCF"/>
    <w:rsid w:val="7B0B0FAA"/>
    <w:rsid w:val="7B128BCC"/>
    <w:rsid w:val="7B846E3A"/>
    <w:rsid w:val="7B954E7B"/>
    <w:rsid w:val="7BCEC68A"/>
    <w:rsid w:val="7BD8CEBC"/>
    <w:rsid w:val="7BDDDE78"/>
    <w:rsid w:val="7BDDE9D1"/>
    <w:rsid w:val="7BFE8E76"/>
    <w:rsid w:val="7C07124F"/>
    <w:rsid w:val="7C0A5EBA"/>
    <w:rsid w:val="7C1F98D0"/>
    <w:rsid w:val="7C33C39A"/>
    <w:rsid w:val="7C365663"/>
    <w:rsid w:val="7C53BD46"/>
    <w:rsid w:val="7C76E7B1"/>
    <w:rsid w:val="7CACA3FE"/>
    <w:rsid w:val="7CBE46E2"/>
    <w:rsid w:val="7CCC602B"/>
    <w:rsid w:val="7CCF89E6"/>
    <w:rsid w:val="7CD1D90C"/>
    <w:rsid w:val="7CD618BC"/>
    <w:rsid w:val="7CDCD4F4"/>
    <w:rsid w:val="7CEFA8CE"/>
    <w:rsid w:val="7CF8F71A"/>
    <w:rsid w:val="7D048F1D"/>
    <w:rsid w:val="7D0DC84D"/>
    <w:rsid w:val="7D0F48A9"/>
    <w:rsid w:val="7D124B71"/>
    <w:rsid w:val="7D19F692"/>
    <w:rsid w:val="7D222CF3"/>
    <w:rsid w:val="7D2715F7"/>
    <w:rsid w:val="7D342F14"/>
    <w:rsid w:val="7D396995"/>
    <w:rsid w:val="7D49CA3B"/>
    <w:rsid w:val="7D50373A"/>
    <w:rsid w:val="7D662E52"/>
    <w:rsid w:val="7DD01A54"/>
    <w:rsid w:val="7DD2BFC3"/>
    <w:rsid w:val="7DD4367A"/>
    <w:rsid w:val="7DEE7A0E"/>
    <w:rsid w:val="7E14F2E5"/>
    <w:rsid w:val="7E30911D"/>
    <w:rsid w:val="7E399F57"/>
    <w:rsid w:val="7E42D862"/>
    <w:rsid w:val="7E45B668"/>
    <w:rsid w:val="7E48E998"/>
    <w:rsid w:val="7E5673F8"/>
    <w:rsid w:val="7E5A8A92"/>
    <w:rsid w:val="7E5B9AC1"/>
    <w:rsid w:val="7E657D4A"/>
    <w:rsid w:val="7E735BFB"/>
    <w:rsid w:val="7E95F71E"/>
    <w:rsid w:val="7EAE68FF"/>
    <w:rsid w:val="7EAFF9B2"/>
    <w:rsid w:val="7EB1936D"/>
    <w:rsid w:val="7EB3AD18"/>
    <w:rsid w:val="7EC0BB79"/>
    <w:rsid w:val="7ED17980"/>
    <w:rsid w:val="7EDB5DA9"/>
    <w:rsid w:val="7EF23C35"/>
    <w:rsid w:val="7F0B3629"/>
    <w:rsid w:val="7F10BB59"/>
    <w:rsid w:val="7F2E6E08"/>
    <w:rsid w:val="7F303E58"/>
    <w:rsid w:val="7F498EA3"/>
    <w:rsid w:val="7F7112ED"/>
    <w:rsid w:val="7F86CB66"/>
    <w:rsid w:val="7F8E7DE4"/>
    <w:rsid w:val="7F9287B1"/>
    <w:rsid w:val="7F958FEA"/>
    <w:rsid w:val="7F95EF25"/>
    <w:rsid w:val="7FA31566"/>
    <w:rsid w:val="7FAC3E1D"/>
    <w:rsid w:val="7FB62BB6"/>
    <w:rsid w:val="7FC82055"/>
    <w:rsid w:val="7FC93B1A"/>
    <w:rsid w:val="7FE2414B"/>
    <w:rsid w:val="7FE353BF"/>
    <w:rsid w:val="7FF643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5941BA00"/>
  <w15:chartTrackingRefBased/>
  <w15:docId w15:val="{3A47D7FE-93F4-4B1E-8DC6-48F520D0A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209"/>
    <w:pPr>
      <w:spacing w:before="120" w:after="120" w:line="240" w:lineRule="auto"/>
    </w:pPr>
  </w:style>
  <w:style w:type="paragraph" w:styleId="Heading1">
    <w:name w:val="heading 1"/>
    <w:basedOn w:val="Normal"/>
    <w:next w:val="Normal"/>
    <w:link w:val="Heading1Char"/>
    <w:uiPriority w:val="9"/>
    <w:qFormat/>
    <w:rsid w:val="00F505A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82B73"/>
    <w:pPr>
      <w:keepNext/>
      <w:keepLines/>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505A1"/>
    <w:pPr>
      <w:keepNext/>
      <w:keepLines/>
      <w:spacing w:before="40" w:after="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unhideWhenUsed/>
    <w:qFormat/>
    <w:rsid w:val="00F505A1"/>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505A1"/>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EB7527"/>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C50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Footnotes Text,FSFootnotes Text"/>
    <w:basedOn w:val="Normal"/>
    <w:link w:val="FootnoteTextChar"/>
    <w:uiPriority w:val="99"/>
    <w:unhideWhenUsed/>
    <w:qFormat/>
    <w:rsid w:val="002C50DE"/>
    <w:pPr>
      <w:spacing w:after="0"/>
    </w:pPr>
    <w:rPr>
      <w:sz w:val="20"/>
      <w:szCs w:val="20"/>
    </w:rPr>
  </w:style>
  <w:style w:type="character" w:customStyle="1" w:styleId="FootnoteTextChar">
    <w:name w:val="Footnote Text Char"/>
    <w:aliases w:val="Footnotes Text Char,FSFootnotes Text Char"/>
    <w:basedOn w:val="DefaultParagraphFont"/>
    <w:link w:val="FootnoteText"/>
    <w:uiPriority w:val="99"/>
    <w:rsid w:val="002C50DE"/>
    <w:rPr>
      <w:sz w:val="20"/>
      <w:szCs w:val="20"/>
    </w:rPr>
  </w:style>
  <w:style w:type="character" w:styleId="FootnoteReference">
    <w:name w:val="footnote reference"/>
    <w:basedOn w:val="DefaultParagraphFont"/>
    <w:uiPriority w:val="99"/>
    <w:unhideWhenUsed/>
    <w:rsid w:val="002C50DE"/>
    <w:rPr>
      <w:vertAlign w:val="superscript"/>
    </w:rPr>
  </w:style>
  <w:style w:type="character" w:styleId="Hyperlink">
    <w:name w:val="Hyperlink"/>
    <w:basedOn w:val="DefaultParagraphFont"/>
    <w:uiPriority w:val="99"/>
    <w:unhideWhenUsed/>
    <w:rsid w:val="002C50DE"/>
    <w:rPr>
      <w:color w:val="0000FF"/>
      <w:u w:val="single"/>
    </w:rPr>
  </w:style>
  <w:style w:type="paragraph" w:styleId="ListParagraph">
    <w:name w:val="List Paragraph"/>
    <w:basedOn w:val="Normal"/>
    <w:uiPriority w:val="34"/>
    <w:qFormat/>
    <w:rsid w:val="002C50DE"/>
    <w:pPr>
      <w:ind w:left="720"/>
      <w:contextualSpacing/>
    </w:pPr>
  </w:style>
  <w:style w:type="paragraph" w:styleId="Header">
    <w:name w:val="header"/>
    <w:basedOn w:val="Normal"/>
    <w:link w:val="HeaderChar"/>
    <w:uiPriority w:val="99"/>
    <w:unhideWhenUsed/>
    <w:rsid w:val="002C50DE"/>
    <w:pPr>
      <w:tabs>
        <w:tab w:val="center" w:pos="4513"/>
        <w:tab w:val="right" w:pos="9026"/>
      </w:tabs>
      <w:spacing w:after="0"/>
    </w:pPr>
  </w:style>
  <w:style w:type="character" w:customStyle="1" w:styleId="HeaderChar">
    <w:name w:val="Header Char"/>
    <w:basedOn w:val="DefaultParagraphFont"/>
    <w:link w:val="Header"/>
    <w:uiPriority w:val="99"/>
    <w:rsid w:val="002C50DE"/>
  </w:style>
  <w:style w:type="paragraph" w:styleId="Footer">
    <w:name w:val="footer"/>
    <w:basedOn w:val="Normal"/>
    <w:link w:val="FooterChar"/>
    <w:uiPriority w:val="99"/>
    <w:unhideWhenUsed/>
    <w:rsid w:val="002C50DE"/>
    <w:pPr>
      <w:tabs>
        <w:tab w:val="center" w:pos="4513"/>
        <w:tab w:val="right" w:pos="9026"/>
      </w:tabs>
      <w:spacing w:after="0"/>
    </w:pPr>
  </w:style>
  <w:style w:type="character" w:customStyle="1" w:styleId="FooterChar">
    <w:name w:val="Footer Char"/>
    <w:basedOn w:val="DefaultParagraphFont"/>
    <w:link w:val="Footer"/>
    <w:uiPriority w:val="99"/>
    <w:rsid w:val="002C50DE"/>
  </w:style>
  <w:style w:type="paragraph" w:styleId="Caption">
    <w:name w:val="caption"/>
    <w:basedOn w:val="Normal"/>
    <w:next w:val="Normal"/>
    <w:uiPriority w:val="35"/>
    <w:unhideWhenUsed/>
    <w:qFormat/>
    <w:rsid w:val="002C50DE"/>
    <w:pPr>
      <w:spacing w:after="200"/>
    </w:pPr>
    <w:rPr>
      <w:i/>
      <w:iCs/>
      <w:color w:val="44546A" w:themeColor="text2"/>
      <w:sz w:val="18"/>
      <w:szCs w:val="18"/>
    </w:rPr>
  </w:style>
  <w:style w:type="character" w:styleId="FollowedHyperlink">
    <w:name w:val="FollowedHyperlink"/>
    <w:basedOn w:val="DefaultParagraphFont"/>
    <w:uiPriority w:val="99"/>
    <w:semiHidden/>
    <w:unhideWhenUsed/>
    <w:rsid w:val="00C74439"/>
    <w:rPr>
      <w:color w:val="954F72" w:themeColor="followedHyperlink"/>
      <w:u w:val="single"/>
    </w:rPr>
  </w:style>
  <w:style w:type="character" w:customStyle="1" w:styleId="Heading1Char">
    <w:name w:val="Heading 1 Char"/>
    <w:basedOn w:val="DefaultParagraphFont"/>
    <w:link w:val="Heading1"/>
    <w:uiPriority w:val="9"/>
    <w:rsid w:val="00F505A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182B7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505A1"/>
    <w:rPr>
      <w:rFonts w:asciiTheme="majorHAnsi" w:eastAsiaTheme="majorEastAsia" w:hAnsiTheme="majorHAnsi" w:cstheme="majorBidi"/>
      <w:color w:val="1F4D78" w:themeColor="accent1" w:themeShade="7F"/>
    </w:rPr>
  </w:style>
  <w:style w:type="character" w:customStyle="1" w:styleId="Heading4Char">
    <w:name w:val="Heading 4 Char"/>
    <w:basedOn w:val="DefaultParagraphFont"/>
    <w:link w:val="Heading4"/>
    <w:uiPriority w:val="9"/>
    <w:rsid w:val="00F505A1"/>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505A1"/>
    <w:rPr>
      <w:rFonts w:asciiTheme="majorHAnsi" w:eastAsiaTheme="majorEastAsia" w:hAnsiTheme="majorHAnsi" w:cstheme="majorBidi"/>
      <w:color w:val="2E74B5" w:themeColor="accent1" w:themeShade="BF"/>
    </w:rPr>
  </w:style>
  <w:style w:type="character" w:styleId="CommentReference">
    <w:name w:val="annotation reference"/>
    <w:basedOn w:val="DefaultParagraphFont"/>
    <w:uiPriority w:val="99"/>
    <w:semiHidden/>
    <w:unhideWhenUsed/>
    <w:rsid w:val="006969CB"/>
    <w:rPr>
      <w:sz w:val="16"/>
      <w:szCs w:val="16"/>
    </w:rPr>
  </w:style>
  <w:style w:type="paragraph" w:styleId="CommentText">
    <w:name w:val="annotation text"/>
    <w:basedOn w:val="Normal"/>
    <w:link w:val="CommentTextChar"/>
    <w:uiPriority w:val="99"/>
    <w:unhideWhenUsed/>
    <w:rsid w:val="006969CB"/>
    <w:rPr>
      <w:sz w:val="20"/>
      <w:szCs w:val="20"/>
    </w:rPr>
  </w:style>
  <w:style w:type="character" w:customStyle="1" w:styleId="CommentTextChar">
    <w:name w:val="Comment Text Char"/>
    <w:basedOn w:val="DefaultParagraphFont"/>
    <w:link w:val="CommentText"/>
    <w:uiPriority w:val="99"/>
    <w:rsid w:val="006969CB"/>
    <w:rPr>
      <w:sz w:val="20"/>
      <w:szCs w:val="20"/>
    </w:rPr>
  </w:style>
  <w:style w:type="paragraph" w:styleId="BalloonText">
    <w:name w:val="Balloon Text"/>
    <w:basedOn w:val="Normal"/>
    <w:link w:val="BalloonTextChar"/>
    <w:uiPriority w:val="99"/>
    <w:semiHidden/>
    <w:unhideWhenUsed/>
    <w:rsid w:val="006969C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69C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584F4E"/>
    <w:rPr>
      <w:b/>
      <w:bCs/>
    </w:rPr>
  </w:style>
  <w:style w:type="character" w:customStyle="1" w:styleId="CommentSubjectChar">
    <w:name w:val="Comment Subject Char"/>
    <w:basedOn w:val="CommentTextChar"/>
    <w:link w:val="CommentSubject"/>
    <w:uiPriority w:val="99"/>
    <w:semiHidden/>
    <w:rsid w:val="00584F4E"/>
    <w:rPr>
      <w:b/>
      <w:bCs/>
      <w:sz w:val="20"/>
      <w:szCs w:val="20"/>
    </w:rPr>
  </w:style>
  <w:style w:type="character" w:customStyle="1" w:styleId="Heading6Char">
    <w:name w:val="Heading 6 Char"/>
    <w:basedOn w:val="DefaultParagraphFont"/>
    <w:link w:val="Heading6"/>
    <w:uiPriority w:val="9"/>
    <w:rsid w:val="00EB7527"/>
    <w:rPr>
      <w:rFonts w:asciiTheme="majorHAnsi" w:eastAsiaTheme="majorEastAsia" w:hAnsiTheme="majorHAnsi" w:cstheme="majorBidi"/>
      <w:color w:val="1F4D78" w:themeColor="accent1" w:themeShade="7F"/>
    </w:rPr>
  </w:style>
  <w:style w:type="paragraph" w:styleId="Revision">
    <w:name w:val="Revision"/>
    <w:hidden/>
    <w:uiPriority w:val="99"/>
    <w:semiHidden/>
    <w:rsid w:val="00373C0A"/>
    <w:pPr>
      <w:spacing w:after="0" w:line="240" w:lineRule="auto"/>
    </w:pPr>
  </w:style>
  <w:style w:type="character" w:styleId="Strong">
    <w:name w:val="Strong"/>
    <w:basedOn w:val="DefaultParagraphFont"/>
    <w:uiPriority w:val="22"/>
    <w:qFormat/>
    <w:rsid w:val="00D32BBE"/>
    <w:rPr>
      <w:b/>
      <w:bCs/>
    </w:rPr>
  </w:style>
  <w:style w:type="paragraph" w:styleId="NormalWeb">
    <w:name w:val="Normal (Web)"/>
    <w:basedOn w:val="Normal"/>
    <w:uiPriority w:val="99"/>
    <w:unhideWhenUsed/>
    <w:rsid w:val="009D475D"/>
  </w:style>
  <w:style w:type="character" w:customStyle="1" w:styleId="cit">
    <w:name w:val="cit"/>
    <w:basedOn w:val="DefaultParagraphFont"/>
    <w:rsid w:val="00E77B0F"/>
  </w:style>
  <w:style w:type="character" w:customStyle="1" w:styleId="citation-doi">
    <w:name w:val="citation-doi"/>
    <w:basedOn w:val="DefaultParagraphFont"/>
    <w:rsid w:val="00E77B0F"/>
  </w:style>
  <w:style w:type="character" w:customStyle="1" w:styleId="UnresolvedMention1">
    <w:name w:val="Unresolved Mention1"/>
    <w:basedOn w:val="DefaultParagraphFont"/>
    <w:uiPriority w:val="99"/>
    <w:semiHidden/>
    <w:unhideWhenUsed/>
    <w:rsid w:val="00006959"/>
    <w:rPr>
      <w:color w:val="605E5C"/>
      <w:shd w:val="clear" w:color="auto" w:fill="E1DFDD"/>
    </w:rPr>
  </w:style>
  <w:style w:type="paragraph" w:customStyle="1" w:styleId="Default">
    <w:name w:val="Default"/>
    <w:basedOn w:val="Normal"/>
    <w:rsid w:val="00006959"/>
    <w:pPr>
      <w:autoSpaceDE w:val="0"/>
      <w:autoSpaceDN w:val="0"/>
      <w:spacing w:after="0"/>
    </w:pPr>
    <w:rPr>
      <w:rFonts w:ascii="Calibri" w:hAnsi="Calibri" w:cs="Calibri"/>
      <w:color w:val="000000"/>
      <w:lang w:val="en-NZ" w:eastAsia="en-NZ"/>
    </w:rPr>
  </w:style>
  <w:style w:type="paragraph" w:customStyle="1" w:styleId="paragraph">
    <w:name w:val="paragraph"/>
    <w:basedOn w:val="Normal"/>
    <w:rsid w:val="00C06A59"/>
    <w:pPr>
      <w:spacing w:before="100" w:beforeAutospacing="1" w:after="100" w:afterAutospacing="1"/>
    </w:pPr>
    <w:rPr>
      <w:rFonts w:eastAsia="Times New Roman"/>
      <w:lang w:val="en-NZ" w:eastAsia="en-NZ"/>
    </w:rPr>
  </w:style>
  <w:style w:type="character" w:customStyle="1" w:styleId="normaltextrun">
    <w:name w:val="normaltextrun"/>
    <w:basedOn w:val="DefaultParagraphFont"/>
    <w:rsid w:val="00C06A59"/>
  </w:style>
  <w:style w:type="character" w:customStyle="1" w:styleId="eop">
    <w:name w:val="eop"/>
    <w:basedOn w:val="DefaultParagraphFont"/>
    <w:rsid w:val="00C06A59"/>
  </w:style>
  <w:style w:type="paragraph" w:customStyle="1" w:styleId="ISCnumbered">
    <w:name w:val="ISC numbered"/>
    <w:basedOn w:val="BodyTextIndent2"/>
    <w:uiPriority w:val="99"/>
    <w:rsid w:val="00990754"/>
    <w:pPr>
      <w:widowControl w:val="0"/>
      <w:numPr>
        <w:numId w:val="12"/>
      </w:numPr>
      <w:tabs>
        <w:tab w:val="clear" w:pos="360"/>
        <w:tab w:val="left" w:pos="426"/>
        <w:tab w:val="left" w:pos="709"/>
      </w:tabs>
      <w:spacing w:line="240" w:lineRule="auto"/>
      <w:ind w:left="720"/>
    </w:pPr>
    <w:rPr>
      <w:rFonts w:eastAsia="Times New Roman"/>
    </w:rPr>
  </w:style>
  <w:style w:type="paragraph" w:styleId="BodyTextIndent2">
    <w:name w:val="Body Text Indent 2"/>
    <w:basedOn w:val="Normal"/>
    <w:link w:val="BodyTextIndent2Char"/>
    <w:uiPriority w:val="99"/>
    <w:semiHidden/>
    <w:unhideWhenUsed/>
    <w:rsid w:val="00990754"/>
    <w:pPr>
      <w:spacing w:line="480" w:lineRule="auto"/>
      <w:ind w:left="283"/>
    </w:pPr>
  </w:style>
  <w:style w:type="character" w:customStyle="1" w:styleId="BodyTextIndent2Char">
    <w:name w:val="Body Text Indent 2 Char"/>
    <w:basedOn w:val="DefaultParagraphFont"/>
    <w:link w:val="BodyTextIndent2"/>
    <w:uiPriority w:val="99"/>
    <w:semiHidden/>
    <w:rsid w:val="00990754"/>
  </w:style>
  <w:style w:type="paragraph" w:styleId="TOCHeading">
    <w:name w:val="TOC Heading"/>
    <w:basedOn w:val="Heading1"/>
    <w:next w:val="Normal"/>
    <w:uiPriority w:val="39"/>
    <w:unhideWhenUsed/>
    <w:qFormat/>
    <w:rsid w:val="007172CC"/>
    <w:pPr>
      <w:outlineLvl w:val="9"/>
    </w:pPr>
    <w:rPr>
      <w:lang w:val="en-US"/>
    </w:rPr>
  </w:style>
  <w:style w:type="paragraph" w:styleId="TOC1">
    <w:name w:val="toc 1"/>
    <w:basedOn w:val="Normal"/>
    <w:next w:val="Normal"/>
    <w:autoRedefine/>
    <w:uiPriority w:val="39"/>
    <w:unhideWhenUsed/>
    <w:rsid w:val="007172CC"/>
    <w:pPr>
      <w:spacing w:after="100"/>
    </w:pPr>
  </w:style>
  <w:style w:type="paragraph" w:styleId="TOC2">
    <w:name w:val="toc 2"/>
    <w:basedOn w:val="Normal"/>
    <w:next w:val="Normal"/>
    <w:autoRedefine/>
    <w:uiPriority w:val="39"/>
    <w:unhideWhenUsed/>
    <w:rsid w:val="007172CC"/>
    <w:pPr>
      <w:spacing w:after="100"/>
      <w:ind w:left="240"/>
    </w:pPr>
  </w:style>
  <w:style w:type="paragraph" w:styleId="TOC3">
    <w:name w:val="toc 3"/>
    <w:basedOn w:val="Normal"/>
    <w:next w:val="Normal"/>
    <w:autoRedefine/>
    <w:uiPriority w:val="39"/>
    <w:unhideWhenUsed/>
    <w:rsid w:val="007172CC"/>
    <w:pPr>
      <w:spacing w:after="100"/>
      <w:ind w:left="480"/>
    </w:pPr>
  </w:style>
  <w:style w:type="paragraph" w:styleId="NoSpacing">
    <w:name w:val="No Spacing"/>
    <w:uiPriority w:val="1"/>
    <w:qFormat/>
    <w:rsid w:val="00ED3FD2"/>
    <w:pPr>
      <w:spacing w:after="0" w:line="240" w:lineRule="auto"/>
    </w:pPr>
  </w:style>
  <w:style w:type="paragraph" w:styleId="Title">
    <w:name w:val="Title"/>
    <w:next w:val="Normal"/>
    <w:link w:val="TitleChar"/>
    <w:uiPriority w:val="10"/>
    <w:qFormat/>
    <w:rsid w:val="00EA4CB7"/>
    <w:pPr>
      <w:spacing w:before="120" w:after="240" w:line="240" w:lineRule="auto"/>
      <w:jc w:val="center"/>
    </w:pPr>
    <w:rPr>
      <w:rFonts w:asciiTheme="majorHAnsi" w:eastAsiaTheme="majorEastAsia" w:hAnsiTheme="majorHAnsi" w:cstheme="majorBidi"/>
      <w:color w:val="2E74B5" w:themeColor="accent1" w:themeShade="BF"/>
      <w:sz w:val="32"/>
      <w:szCs w:val="32"/>
    </w:rPr>
  </w:style>
  <w:style w:type="character" w:customStyle="1" w:styleId="TitleChar">
    <w:name w:val="Title Char"/>
    <w:basedOn w:val="DefaultParagraphFont"/>
    <w:link w:val="Title"/>
    <w:uiPriority w:val="10"/>
    <w:rsid w:val="00EA4CB7"/>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2329">
      <w:bodyDiv w:val="1"/>
      <w:marLeft w:val="0"/>
      <w:marRight w:val="0"/>
      <w:marTop w:val="0"/>
      <w:marBottom w:val="0"/>
      <w:divBdr>
        <w:top w:val="none" w:sz="0" w:space="0" w:color="auto"/>
        <w:left w:val="none" w:sz="0" w:space="0" w:color="auto"/>
        <w:bottom w:val="none" w:sz="0" w:space="0" w:color="auto"/>
        <w:right w:val="none" w:sz="0" w:space="0" w:color="auto"/>
      </w:divBdr>
    </w:div>
    <w:div w:id="63837154">
      <w:bodyDiv w:val="1"/>
      <w:marLeft w:val="0"/>
      <w:marRight w:val="0"/>
      <w:marTop w:val="0"/>
      <w:marBottom w:val="0"/>
      <w:divBdr>
        <w:top w:val="none" w:sz="0" w:space="0" w:color="auto"/>
        <w:left w:val="none" w:sz="0" w:space="0" w:color="auto"/>
        <w:bottom w:val="none" w:sz="0" w:space="0" w:color="auto"/>
        <w:right w:val="none" w:sz="0" w:space="0" w:color="auto"/>
      </w:divBdr>
    </w:div>
    <w:div w:id="72702581">
      <w:bodyDiv w:val="1"/>
      <w:marLeft w:val="0"/>
      <w:marRight w:val="0"/>
      <w:marTop w:val="0"/>
      <w:marBottom w:val="0"/>
      <w:divBdr>
        <w:top w:val="none" w:sz="0" w:space="0" w:color="auto"/>
        <w:left w:val="none" w:sz="0" w:space="0" w:color="auto"/>
        <w:bottom w:val="none" w:sz="0" w:space="0" w:color="auto"/>
        <w:right w:val="none" w:sz="0" w:space="0" w:color="auto"/>
      </w:divBdr>
    </w:div>
    <w:div w:id="125970152">
      <w:bodyDiv w:val="1"/>
      <w:marLeft w:val="0"/>
      <w:marRight w:val="0"/>
      <w:marTop w:val="0"/>
      <w:marBottom w:val="0"/>
      <w:divBdr>
        <w:top w:val="none" w:sz="0" w:space="0" w:color="auto"/>
        <w:left w:val="none" w:sz="0" w:space="0" w:color="auto"/>
        <w:bottom w:val="none" w:sz="0" w:space="0" w:color="auto"/>
        <w:right w:val="none" w:sz="0" w:space="0" w:color="auto"/>
      </w:divBdr>
    </w:div>
    <w:div w:id="172305843">
      <w:bodyDiv w:val="1"/>
      <w:marLeft w:val="0"/>
      <w:marRight w:val="0"/>
      <w:marTop w:val="0"/>
      <w:marBottom w:val="0"/>
      <w:divBdr>
        <w:top w:val="none" w:sz="0" w:space="0" w:color="auto"/>
        <w:left w:val="none" w:sz="0" w:space="0" w:color="auto"/>
        <w:bottom w:val="none" w:sz="0" w:space="0" w:color="auto"/>
        <w:right w:val="none" w:sz="0" w:space="0" w:color="auto"/>
      </w:divBdr>
    </w:div>
    <w:div w:id="235551879">
      <w:bodyDiv w:val="1"/>
      <w:marLeft w:val="0"/>
      <w:marRight w:val="0"/>
      <w:marTop w:val="0"/>
      <w:marBottom w:val="0"/>
      <w:divBdr>
        <w:top w:val="none" w:sz="0" w:space="0" w:color="auto"/>
        <w:left w:val="none" w:sz="0" w:space="0" w:color="auto"/>
        <w:bottom w:val="none" w:sz="0" w:space="0" w:color="auto"/>
        <w:right w:val="none" w:sz="0" w:space="0" w:color="auto"/>
      </w:divBdr>
    </w:div>
    <w:div w:id="412628123">
      <w:bodyDiv w:val="1"/>
      <w:marLeft w:val="0"/>
      <w:marRight w:val="0"/>
      <w:marTop w:val="0"/>
      <w:marBottom w:val="0"/>
      <w:divBdr>
        <w:top w:val="none" w:sz="0" w:space="0" w:color="auto"/>
        <w:left w:val="none" w:sz="0" w:space="0" w:color="auto"/>
        <w:bottom w:val="none" w:sz="0" w:space="0" w:color="auto"/>
        <w:right w:val="none" w:sz="0" w:space="0" w:color="auto"/>
      </w:divBdr>
    </w:div>
    <w:div w:id="423840633">
      <w:bodyDiv w:val="1"/>
      <w:marLeft w:val="0"/>
      <w:marRight w:val="0"/>
      <w:marTop w:val="0"/>
      <w:marBottom w:val="0"/>
      <w:divBdr>
        <w:top w:val="none" w:sz="0" w:space="0" w:color="auto"/>
        <w:left w:val="none" w:sz="0" w:space="0" w:color="auto"/>
        <w:bottom w:val="none" w:sz="0" w:space="0" w:color="auto"/>
        <w:right w:val="none" w:sz="0" w:space="0" w:color="auto"/>
      </w:divBdr>
    </w:div>
    <w:div w:id="431171519">
      <w:bodyDiv w:val="1"/>
      <w:marLeft w:val="0"/>
      <w:marRight w:val="0"/>
      <w:marTop w:val="0"/>
      <w:marBottom w:val="0"/>
      <w:divBdr>
        <w:top w:val="none" w:sz="0" w:space="0" w:color="auto"/>
        <w:left w:val="none" w:sz="0" w:space="0" w:color="auto"/>
        <w:bottom w:val="none" w:sz="0" w:space="0" w:color="auto"/>
        <w:right w:val="none" w:sz="0" w:space="0" w:color="auto"/>
      </w:divBdr>
    </w:div>
    <w:div w:id="490290837">
      <w:bodyDiv w:val="1"/>
      <w:marLeft w:val="0"/>
      <w:marRight w:val="0"/>
      <w:marTop w:val="0"/>
      <w:marBottom w:val="0"/>
      <w:divBdr>
        <w:top w:val="none" w:sz="0" w:space="0" w:color="auto"/>
        <w:left w:val="none" w:sz="0" w:space="0" w:color="auto"/>
        <w:bottom w:val="none" w:sz="0" w:space="0" w:color="auto"/>
        <w:right w:val="none" w:sz="0" w:space="0" w:color="auto"/>
      </w:divBdr>
    </w:div>
    <w:div w:id="501555575">
      <w:bodyDiv w:val="1"/>
      <w:marLeft w:val="0"/>
      <w:marRight w:val="0"/>
      <w:marTop w:val="0"/>
      <w:marBottom w:val="0"/>
      <w:divBdr>
        <w:top w:val="none" w:sz="0" w:space="0" w:color="auto"/>
        <w:left w:val="none" w:sz="0" w:space="0" w:color="auto"/>
        <w:bottom w:val="none" w:sz="0" w:space="0" w:color="auto"/>
        <w:right w:val="none" w:sz="0" w:space="0" w:color="auto"/>
      </w:divBdr>
    </w:div>
    <w:div w:id="579558372">
      <w:bodyDiv w:val="1"/>
      <w:marLeft w:val="0"/>
      <w:marRight w:val="0"/>
      <w:marTop w:val="0"/>
      <w:marBottom w:val="0"/>
      <w:divBdr>
        <w:top w:val="none" w:sz="0" w:space="0" w:color="auto"/>
        <w:left w:val="none" w:sz="0" w:space="0" w:color="auto"/>
        <w:bottom w:val="none" w:sz="0" w:space="0" w:color="auto"/>
        <w:right w:val="none" w:sz="0" w:space="0" w:color="auto"/>
      </w:divBdr>
    </w:div>
    <w:div w:id="608051636">
      <w:bodyDiv w:val="1"/>
      <w:marLeft w:val="0"/>
      <w:marRight w:val="0"/>
      <w:marTop w:val="0"/>
      <w:marBottom w:val="0"/>
      <w:divBdr>
        <w:top w:val="none" w:sz="0" w:space="0" w:color="auto"/>
        <w:left w:val="none" w:sz="0" w:space="0" w:color="auto"/>
        <w:bottom w:val="none" w:sz="0" w:space="0" w:color="auto"/>
        <w:right w:val="none" w:sz="0" w:space="0" w:color="auto"/>
      </w:divBdr>
    </w:div>
    <w:div w:id="675839479">
      <w:bodyDiv w:val="1"/>
      <w:marLeft w:val="0"/>
      <w:marRight w:val="0"/>
      <w:marTop w:val="0"/>
      <w:marBottom w:val="0"/>
      <w:divBdr>
        <w:top w:val="none" w:sz="0" w:space="0" w:color="auto"/>
        <w:left w:val="none" w:sz="0" w:space="0" w:color="auto"/>
        <w:bottom w:val="none" w:sz="0" w:space="0" w:color="auto"/>
        <w:right w:val="none" w:sz="0" w:space="0" w:color="auto"/>
      </w:divBdr>
    </w:div>
    <w:div w:id="854222316">
      <w:bodyDiv w:val="1"/>
      <w:marLeft w:val="0"/>
      <w:marRight w:val="0"/>
      <w:marTop w:val="0"/>
      <w:marBottom w:val="0"/>
      <w:divBdr>
        <w:top w:val="none" w:sz="0" w:space="0" w:color="auto"/>
        <w:left w:val="none" w:sz="0" w:space="0" w:color="auto"/>
        <w:bottom w:val="none" w:sz="0" w:space="0" w:color="auto"/>
        <w:right w:val="none" w:sz="0" w:space="0" w:color="auto"/>
      </w:divBdr>
    </w:div>
    <w:div w:id="985623606">
      <w:bodyDiv w:val="1"/>
      <w:marLeft w:val="0"/>
      <w:marRight w:val="0"/>
      <w:marTop w:val="0"/>
      <w:marBottom w:val="0"/>
      <w:divBdr>
        <w:top w:val="none" w:sz="0" w:space="0" w:color="auto"/>
        <w:left w:val="none" w:sz="0" w:space="0" w:color="auto"/>
        <w:bottom w:val="none" w:sz="0" w:space="0" w:color="auto"/>
        <w:right w:val="none" w:sz="0" w:space="0" w:color="auto"/>
      </w:divBdr>
    </w:div>
    <w:div w:id="995374647">
      <w:bodyDiv w:val="1"/>
      <w:marLeft w:val="0"/>
      <w:marRight w:val="0"/>
      <w:marTop w:val="0"/>
      <w:marBottom w:val="0"/>
      <w:divBdr>
        <w:top w:val="none" w:sz="0" w:space="0" w:color="auto"/>
        <w:left w:val="none" w:sz="0" w:space="0" w:color="auto"/>
        <w:bottom w:val="none" w:sz="0" w:space="0" w:color="auto"/>
        <w:right w:val="none" w:sz="0" w:space="0" w:color="auto"/>
      </w:divBdr>
    </w:div>
    <w:div w:id="1044065366">
      <w:bodyDiv w:val="1"/>
      <w:marLeft w:val="0"/>
      <w:marRight w:val="0"/>
      <w:marTop w:val="0"/>
      <w:marBottom w:val="0"/>
      <w:divBdr>
        <w:top w:val="none" w:sz="0" w:space="0" w:color="auto"/>
        <w:left w:val="none" w:sz="0" w:space="0" w:color="auto"/>
        <w:bottom w:val="none" w:sz="0" w:space="0" w:color="auto"/>
        <w:right w:val="none" w:sz="0" w:space="0" w:color="auto"/>
      </w:divBdr>
    </w:div>
    <w:div w:id="1060056663">
      <w:bodyDiv w:val="1"/>
      <w:marLeft w:val="0"/>
      <w:marRight w:val="0"/>
      <w:marTop w:val="0"/>
      <w:marBottom w:val="0"/>
      <w:divBdr>
        <w:top w:val="none" w:sz="0" w:space="0" w:color="auto"/>
        <w:left w:val="none" w:sz="0" w:space="0" w:color="auto"/>
        <w:bottom w:val="none" w:sz="0" w:space="0" w:color="auto"/>
        <w:right w:val="none" w:sz="0" w:space="0" w:color="auto"/>
      </w:divBdr>
      <w:divsChild>
        <w:div w:id="547960297">
          <w:marLeft w:val="0"/>
          <w:marRight w:val="0"/>
          <w:marTop w:val="0"/>
          <w:marBottom w:val="0"/>
          <w:divBdr>
            <w:top w:val="none" w:sz="0" w:space="0" w:color="auto"/>
            <w:left w:val="none" w:sz="0" w:space="0" w:color="auto"/>
            <w:bottom w:val="none" w:sz="0" w:space="0" w:color="auto"/>
            <w:right w:val="none" w:sz="0" w:space="0" w:color="auto"/>
          </w:divBdr>
          <w:divsChild>
            <w:div w:id="1083573449">
              <w:marLeft w:val="0"/>
              <w:marRight w:val="0"/>
              <w:marTop w:val="0"/>
              <w:marBottom w:val="0"/>
              <w:divBdr>
                <w:top w:val="none" w:sz="0" w:space="0" w:color="auto"/>
                <w:left w:val="none" w:sz="0" w:space="0" w:color="auto"/>
                <w:bottom w:val="none" w:sz="0" w:space="0" w:color="auto"/>
                <w:right w:val="none" w:sz="0" w:space="0" w:color="auto"/>
              </w:divBdr>
              <w:divsChild>
                <w:div w:id="1579288281">
                  <w:marLeft w:val="0"/>
                  <w:marRight w:val="0"/>
                  <w:marTop w:val="0"/>
                  <w:marBottom w:val="0"/>
                  <w:divBdr>
                    <w:top w:val="none" w:sz="0" w:space="0" w:color="auto"/>
                    <w:left w:val="none" w:sz="0" w:space="0" w:color="auto"/>
                    <w:bottom w:val="none" w:sz="0" w:space="0" w:color="auto"/>
                    <w:right w:val="none" w:sz="0" w:space="0" w:color="auto"/>
                  </w:divBdr>
                  <w:divsChild>
                    <w:div w:id="329719873">
                      <w:marLeft w:val="0"/>
                      <w:marRight w:val="0"/>
                      <w:marTop w:val="0"/>
                      <w:marBottom w:val="0"/>
                      <w:divBdr>
                        <w:top w:val="none" w:sz="0" w:space="0" w:color="auto"/>
                        <w:left w:val="none" w:sz="0" w:space="0" w:color="auto"/>
                        <w:bottom w:val="none" w:sz="0" w:space="0" w:color="auto"/>
                        <w:right w:val="none" w:sz="0" w:space="0" w:color="auto"/>
                      </w:divBdr>
                      <w:divsChild>
                        <w:div w:id="26762660">
                          <w:marLeft w:val="0"/>
                          <w:marRight w:val="0"/>
                          <w:marTop w:val="0"/>
                          <w:marBottom w:val="0"/>
                          <w:divBdr>
                            <w:top w:val="none" w:sz="0" w:space="0" w:color="auto"/>
                            <w:left w:val="none" w:sz="0" w:space="0" w:color="auto"/>
                            <w:bottom w:val="none" w:sz="0" w:space="0" w:color="auto"/>
                            <w:right w:val="none" w:sz="0" w:space="0" w:color="auto"/>
                          </w:divBdr>
                          <w:divsChild>
                            <w:div w:id="1797405887">
                              <w:marLeft w:val="0"/>
                              <w:marRight w:val="0"/>
                              <w:marTop w:val="0"/>
                              <w:marBottom w:val="0"/>
                              <w:divBdr>
                                <w:top w:val="none" w:sz="0" w:space="0" w:color="auto"/>
                                <w:left w:val="none" w:sz="0" w:space="0" w:color="auto"/>
                                <w:bottom w:val="none" w:sz="0" w:space="0" w:color="auto"/>
                                <w:right w:val="none" w:sz="0" w:space="0" w:color="auto"/>
                              </w:divBdr>
                              <w:divsChild>
                                <w:div w:id="1653563044">
                                  <w:marLeft w:val="0"/>
                                  <w:marRight w:val="0"/>
                                  <w:marTop w:val="0"/>
                                  <w:marBottom w:val="0"/>
                                  <w:divBdr>
                                    <w:top w:val="none" w:sz="0" w:space="0" w:color="auto"/>
                                    <w:left w:val="none" w:sz="0" w:space="0" w:color="auto"/>
                                    <w:bottom w:val="none" w:sz="0" w:space="0" w:color="auto"/>
                                    <w:right w:val="none" w:sz="0" w:space="0" w:color="auto"/>
                                  </w:divBdr>
                                  <w:divsChild>
                                    <w:div w:id="1176727599">
                                      <w:marLeft w:val="0"/>
                                      <w:marRight w:val="0"/>
                                      <w:marTop w:val="0"/>
                                      <w:marBottom w:val="0"/>
                                      <w:divBdr>
                                        <w:top w:val="none" w:sz="0" w:space="0" w:color="auto"/>
                                        <w:left w:val="none" w:sz="0" w:space="0" w:color="auto"/>
                                        <w:bottom w:val="none" w:sz="0" w:space="0" w:color="auto"/>
                                        <w:right w:val="none" w:sz="0" w:space="0" w:color="auto"/>
                                      </w:divBdr>
                                      <w:divsChild>
                                        <w:div w:id="1171678137">
                                          <w:marLeft w:val="0"/>
                                          <w:marRight w:val="0"/>
                                          <w:marTop w:val="0"/>
                                          <w:marBottom w:val="0"/>
                                          <w:divBdr>
                                            <w:top w:val="none" w:sz="0" w:space="0" w:color="auto"/>
                                            <w:left w:val="none" w:sz="0" w:space="0" w:color="auto"/>
                                            <w:bottom w:val="none" w:sz="0" w:space="0" w:color="auto"/>
                                            <w:right w:val="none" w:sz="0" w:space="0" w:color="auto"/>
                                          </w:divBdr>
                                          <w:divsChild>
                                            <w:div w:id="1806195143">
                                              <w:marLeft w:val="0"/>
                                              <w:marRight w:val="0"/>
                                              <w:marTop w:val="0"/>
                                              <w:marBottom w:val="0"/>
                                              <w:divBdr>
                                                <w:top w:val="none" w:sz="0" w:space="0" w:color="auto"/>
                                                <w:left w:val="none" w:sz="0" w:space="0" w:color="auto"/>
                                                <w:bottom w:val="none" w:sz="0" w:space="0" w:color="auto"/>
                                                <w:right w:val="none" w:sz="0" w:space="0" w:color="auto"/>
                                              </w:divBdr>
                                              <w:divsChild>
                                                <w:div w:id="1473581">
                                                  <w:marLeft w:val="0"/>
                                                  <w:marRight w:val="0"/>
                                                  <w:marTop w:val="0"/>
                                                  <w:marBottom w:val="0"/>
                                                  <w:divBdr>
                                                    <w:top w:val="none" w:sz="0" w:space="0" w:color="auto"/>
                                                    <w:left w:val="none" w:sz="0" w:space="0" w:color="auto"/>
                                                    <w:bottom w:val="none" w:sz="0" w:space="0" w:color="auto"/>
                                                    <w:right w:val="none" w:sz="0" w:space="0" w:color="auto"/>
                                                  </w:divBdr>
                                                  <w:divsChild>
                                                    <w:div w:id="681586634">
                                                      <w:marLeft w:val="0"/>
                                                      <w:marRight w:val="0"/>
                                                      <w:marTop w:val="0"/>
                                                      <w:marBottom w:val="0"/>
                                                      <w:divBdr>
                                                        <w:top w:val="none" w:sz="0" w:space="0" w:color="auto"/>
                                                        <w:left w:val="none" w:sz="0" w:space="0" w:color="auto"/>
                                                        <w:bottom w:val="none" w:sz="0" w:space="0" w:color="auto"/>
                                                        <w:right w:val="none" w:sz="0" w:space="0" w:color="auto"/>
                                                      </w:divBdr>
                                                      <w:divsChild>
                                                        <w:div w:id="730228230">
                                                          <w:marLeft w:val="0"/>
                                                          <w:marRight w:val="0"/>
                                                          <w:marTop w:val="0"/>
                                                          <w:marBottom w:val="0"/>
                                                          <w:divBdr>
                                                            <w:top w:val="none" w:sz="0" w:space="0" w:color="auto"/>
                                                            <w:left w:val="none" w:sz="0" w:space="0" w:color="auto"/>
                                                            <w:bottom w:val="none" w:sz="0" w:space="0" w:color="auto"/>
                                                            <w:right w:val="none" w:sz="0" w:space="0" w:color="auto"/>
                                                          </w:divBdr>
                                                          <w:divsChild>
                                                            <w:div w:id="942494513">
                                                              <w:marLeft w:val="0"/>
                                                              <w:marRight w:val="0"/>
                                                              <w:marTop w:val="0"/>
                                                              <w:marBottom w:val="0"/>
                                                              <w:divBdr>
                                                                <w:top w:val="none" w:sz="0" w:space="0" w:color="auto"/>
                                                                <w:left w:val="none" w:sz="0" w:space="0" w:color="auto"/>
                                                                <w:bottom w:val="none" w:sz="0" w:space="0" w:color="auto"/>
                                                                <w:right w:val="none" w:sz="0" w:space="0" w:color="auto"/>
                                                              </w:divBdr>
                                                              <w:divsChild>
                                                                <w:div w:id="525870277">
                                                                  <w:marLeft w:val="0"/>
                                                                  <w:marRight w:val="0"/>
                                                                  <w:marTop w:val="0"/>
                                                                  <w:marBottom w:val="0"/>
                                                                  <w:divBdr>
                                                                    <w:top w:val="none" w:sz="0" w:space="0" w:color="auto"/>
                                                                    <w:left w:val="none" w:sz="0" w:space="0" w:color="auto"/>
                                                                    <w:bottom w:val="none" w:sz="0" w:space="0" w:color="auto"/>
                                                                    <w:right w:val="none" w:sz="0" w:space="0" w:color="auto"/>
                                                                  </w:divBdr>
                                                                  <w:divsChild>
                                                                    <w:div w:id="1367682372">
                                                                      <w:marLeft w:val="0"/>
                                                                      <w:marRight w:val="0"/>
                                                                      <w:marTop w:val="0"/>
                                                                      <w:marBottom w:val="0"/>
                                                                      <w:divBdr>
                                                                        <w:top w:val="none" w:sz="0" w:space="0" w:color="auto"/>
                                                                        <w:left w:val="none" w:sz="0" w:space="0" w:color="auto"/>
                                                                        <w:bottom w:val="none" w:sz="0" w:space="0" w:color="auto"/>
                                                                        <w:right w:val="none" w:sz="0" w:space="0" w:color="auto"/>
                                                                      </w:divBdr>
                                                                      <w:divsChild>
                                                                        <w:div w:id="1126047058">
                                                                          <w:marLeft w:val="0"/>
                                                                          <w:marRight w:val="0"/>
                                                                          <w:marTop w:val="0"/>
                                                                          <w:marBottom w:val="0"/>
                                                                          <w:divBdr>
                                                                            <w:top w:val="none" w:sz="0" w:space="0" w:color="auto"/>
                                                                            <w:left w:val="none" w:sz="0" w:space="0" w:color="auto"/>
                                                                            <w:bottom w:val="none" w:sz="0" w:space="0" w:color="auto"/>
                                                                            <w:right w:val="none" w:sz="0" w:space="0" w:color="auto"/>
                                                                          </w:divBdr>
                                                                          <w:divsChild>
                                                                            <w:div w:id="787748310">
                                                                              <w:marLeft w:val="0"/>
                                                                              <w:marRight w:val="0"/>
                                                                              <w:marTop w:val="0"/>
                                                                              <w:marBottom w:val="0"/>
                                                                              <w:divBdr>
                                                                                <w:top w:val="none" w:sz="0" w:space="0" w:color="auto"/>
                                                                                <w:left w:val="none" w:sz="0" w:space="0" w:color="auto"/>
                                                                                <w:bottom w:val="none" w:sz="0" w:space="0" w:color="auto"/>
                                                                                <w:right w:val="none" w:sz="0" w:space="0" w:color="auto"/>
                                                                              </w:divBdr>
                                                                              <w:divsChild>
                                                                                <w:div w:id="944771745">
                                                                                  <w:marLeft w:val="0"/>
                                                                                  <w:marRight w:val="0"/>
                                                                                  <w:marTop w:val="0"/>
                                                                                  <w:marBottom w:val="0"/>
                                                                                  <w:divBdr>
                                                                                    <w:top w:val="none" w:sz="0" w:space="0" w:color="auto"/>
                                                                                    <w:left w:val="none" w:sz="0" w:space="0" w:color="auto"/>
                                                                                    <w:bottom w:val="none" w:sz="0" w:space="0" w:color="auto"/>
                                                                                    <w:right w:val="none" w:sz="0" w:space="0" w:color="auto"/>
                                                                                  </w:divBdr>
                                                                                  <w:divsChild>
                                                                                    <w:div w:id="936445380">
                                                                                      <w:marLeft w:val="0"/>
                                                                                      <w:marRight w:val="0"/>
                                                                                      <w:marTop w:val="0"/>
                                                                                      <w:marBottom w:val="0"/>
                                                                                      <w:divBdr>
                                                                                        <w:top w:val="none" w:sz="0" w:space="0" w:color="auto"/>
                                                                                        <w:left w:val="none" w:sz="0" w:space="0" w:color="auto"/>
                                                                                        <w:bottom w:val="none" w:sz="0" w:space="0" w:color="auto"/>
                                                                                        <w:right w:val="none" w:sz="0" w:space="0" w:color="auto"/>
                                                                                      </w:divBdr>
                                                                                      <w:divsChild>
                                                                                        <w:div w:id="1369646651">
                                                                                          <w:marLeft w:val="0"/>
                                                                                          <w:marRight w:val="0"/>
                                                                                          <w:marTop w:val="0"/>
                                                                                          <w:marBottom w:val="0"/>
                                                                                          <w:divBdr>
                                                                                            <w:top w:val="none" w:sz="0" w:space="0" w:color="auto"/>
                                                                                            <w:left w:val="none" w:sz="0" w:space="0" w:color="auto"/>
                                                                                            <w:bottom w:val="none" w:sz="0" w:space="0" w:color="auto"/>
                                                                                            <w:right w:val="none" w:sz="0" w:space="0" w:color="auto"/>
                                                                                          </w:divBdr>
                                                                                          <w:divsChild>
                                                                                            <w:div w:id="2130005363">
                                                                                              <w:marLeft w:val="0"/>
                                                                                              <w:marRight w:val="0"/>
                                                                                              <w:marTop w:val="0"/>
                                                                                              <w:marBottom w:val="0"/>
                                                                                              <w:divBdr>
                                                                                                <w:top w:val="none" w:sz="0" w:space="0" w:color="auto"/>
                                                                                                <w:left w:val="none" w:sz="0" w:space="0" w:color="auto"/>
                                                                                                <w:bottom w:val="none" w:sz="0" w:space="0" w:color="auto"/>
                                                                                                <w:right w:val="none" w:sz="0" w:space="0" w:color="auto"/>
                                                                                              </w:divBdr>
                                                                                              <w:divsChild>
                                                                                                <w:div w:id="829173483">
                                                                                                  <w:marLeft w:val="0"/>
                                                                                                  <w:marRight w:val="0"/>
                                                                                                  <w:marTop w:val="0"/>
                                                                                                  <w:marBottom w:val="0"/>
                                                                                                  <w:divBdr>
                                                                                                    <w:top w:val="none" w:sz="0" w:space="0" w:color="auto"/>
                                                                                                    <w:left w:val="none" w:sz="0" w:space="0" w:color="auto"/>
                                                                                                    <w:bottom w:val="none" w:sz="0" w:space="0" w:color="auto"/>
                                                                                                    <w:right w:val="none" w:sz="0" w:space="0" w:color="auto"/>
                                                                                                  </w:divBdr>
                                                                                                  <w:divsChild>
                                                                                                    <w:div w:id="2051029000">
                                                                                                      <w:marLeft w:val="0"/>
                                                                                                      <w:marRight w:val="0"/>
                                                                                                      <w:marTop w:val="0"/>
                                                                                                      <w:marBottom w:val="0"/>
                                                                                                      <w:divBdr>
                                                                                                        <w:top w:val="none" w:sz="0" w:space="0" w:color="auto"/>
                                                                                                        <w:left w:val="none" w:sz="0" w:space="0" w:color="auto"/>
                                                                                                        <w:bottom w:val="none" w:sz="0" w:space="0" w:color="auto"/>
                                                                                                        <w:right w:val="none" w:sz="0" w:space="0" w:color="auto"/>
                                                                                                      </w:divBdr>
                                                                                                      <w:divsChild>
                                                                                                        <w:div w:id="1998800851">
                                                                                                          <w:marLeft w:val="0"/>
                                                                                                          <w:marRight w:val="0"/>
                                                                                                          <w:marTop w:val="0"/>
                                                                                                          <w:marBottom w:val="525"/>
                                                                                                          <w:divBdr>
                                                                                                            <w:top w:val="none" w:sz="0" w:space="0" w:color="auto"/>
                                                                                                            <w:left w:val="none" w:sz="0" w:space="0" w:color="auto"/>
                                                                                                            <w:bottom w:val="none" w:sz="0" w:space="0" w:color="auto"/>
                                                                                                            <w:right w:val="none" w:sz="0" w:space="0" w:color="auto"/>
                                                                                                          </w:divBdr>
                                                                                                          <w:divsChild>
                                                                                                            <w:div w:id="416487992">
                                                                                                              <w:marLeft w:val="0"/>
                                                                                                              <w:marRight w:val="0"/>
                                                                                                              <w:marTop w:val="0"/>
                                                                                                              <w:marBottom w:val="0"/>
                                                                                                              <w:divBdr>
                                                                                                                <w:top w:val="none" w:sz="0" w:space="0" w:color="auto"/>
                                                                                                                <w:left w:val="none" w:sz="0" w:space="0" w:color="auto"/>
                                                                                                                <w:bottom w:val="none" w:sz="0" w:space="0" w:color="auto"/>
                                                                                                                <w:right w:val="none" w:sz="0" w:space="0" w:color="auto"/>
                                                                                                              </w:divBdr>
                                                                                                              <w:divsChild>
                                                                                                                <w:div w:id="993335111">
                                                                                                                  <w:marLeft w:val="0"/>
                                                                                                                  <w:marRight w:val="0"/>
                                                                                                                  <w:marTop w:val="0"/>
                                                                                                                  <w:marBottom w:val="0"/>
                                                                                                                  <w:divBdr>
                                                                                                                    <w:top w:val="none" w:sz="0" w:space="0" w:color="auto"/>
                                                                                                                    <w:left w:val="none" w:sz="0" w:space="0" w:color="auto"/>
                                                                                                                    <w:bottom w:val="none" w:sz="0" w:space="0" w:color="auto"/>
                                                                                                                    <w:right w:val="none" w:sz="0" w:space="0" w:color="auto"/>
                                                                                                                  </w:divBdr>
                                                                                                                  <w:divsChild>
                                                                                                                    <w:div w:id="737633174">
                                                                                                                      <w:marLeft w:val="0"/>
                                                                                                                      <w:marRight w:val="0"/>
                                                                                                                      <w:marTop w:val="0"/>
                                                                                                                      <w:marBottom w:val="0"/>
                                                                                                                      <w:divBdr>
                                                                                                                        <w:top w:val="none" w:sz="0" w:space="0" w:color="auto"/>
                                                                                                                        <w:left w:val="none" w:sz="0" w:space="0" w:color="auto"/>
                                                                                                                        <w:bottom w:val="none" w:sz="0" w:space="0" w:color="auto"/>
                                                                                                                        <w:right w:val="none" w:sz="0" w:space="0" w:color="auto"/>
                                                                                                                      </w:divBdr>
                                                                                                                    </w:div>
                                                                                                                    <w:div w:id="664094908">
                                                                                                                      <w:marLeft w:val="0"/>
                                                                                                                      <w:marRight w:val="0"/>
                                                                                                                      <w:marTop w:val="0"/>
                                                                                                                      <w:marBottom w:val="0"/>
                                                                                                                      <w:divBdr>
                                                                                                                        <w:top w:val="none" w:sz="0" w:space="0" w:color="auto"/>
                                                                                                                        <w:left w:val="none" w:sz="0" w:space="0" w:color="auto"/>
                                                                                                                        <w:bottom w:val="none" w:sz="0" w:space="0" w:color="auto"/>
                                                                                                                        <w:right w:val="none" w:sz="0" w:space="0" w:color="auto"/>
                                                                                                                      </w:divBdr>
                                                                                                                    </w:div>
                                                                                                                    <w:div w:id="1741752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9570900">
      <w:bodyDiv w:val="1"/>
      <w:marLeft w:val="0"/>
      <w:marRight w:val="0"/>
      <w:marTop w:val="0"/>
      <w:marBottom w:val="0"/>
      <w:divBdr>
        <w:top w:val="none" w:sz="0" w:space="0" w:color="auto"/>
        <w:left w:val="none" w:sz="0" w:space="0" w:color="auto"/>
        <w:bottom w:val="none" w:sz="0" w:space="0" w:color="auto"/>
        <w:right w:val="none" w:sz="0" w:space="0" w:color="auto"/>
      </w:divBdr>
    </w:div>
    <w:div w:id="1181310679">
      <w:bodyDiv w:val="1"/>
      <w:marLeft w:val="0"/>
      <w:marRight w:val="0"/>
      <w:marTop w:val="0"/>
      <w:marBottom w:val="0"/>
      <w:divBdr>
        <w:top w:val="none" w:sz="0" w:space="0" w:color="auto"/>
        <w:left w:val="none" w:sz="0" w:space="0" w:color="auto"/>
        <w:bottom w:val="none" w:sz="0" w:space="0" w:color="auto"/>
        <w:right w:val="none" w:sz="0" w:space="0" w:color="auto"/>
      </w:divBdr>
      <w:divsChild>
        <w:div w:id="730815166">
          <w:marLeft w:val="0"/>
          <w:marRight w:val="0"/>
          <w:marTop w:val="0"/>
          <w:marBottom w:val="0"/>
          <w:divBdr>
            <w:top w:val="none" w:sz="0" w:space="0" w:color="auto"/>
            <w:left w:val="none" w:sz="0" w:space="0" w:color="auto"/>
            <w:bottom w:val="none" w:sz="0" w:space="0" w:color="auto"/>
            <w:right w:val="none" w:sz="0" w:space="0" w:color="auto"/>
          </w:divBdr>
        </w:div>
      </w:divsChild>
    </w:div>
    <w:div w:id="1241215645">
      <w:bodyDiv w:val="1"/>
      <w:marLeft w:val="0"/>
      <w:marRight w:val="0"/>
      <w:marTop w:val="0"/>
      <w:marBottom w:val="0"/>
      <w:divBdr>
        <w:top w:val="none" w:sz="0" w:space="0" w:color="auto"/>
        <w:left w:val="none" w:sz="0" w:space="0" w:color="auto"/>
        <w:bottom w:val="none" w:sz="0" w:space="0" w:color="auto"/>
        <w:right w:val="none" w:sz="0" w:space="0" w:color="auto"/>
      </w:divBdr>
    </w:div>
    <w:div w:id="1265529310">
      <w:bodyDiv w:val="1"/>
      <w:marLeft w:val="0"/>
      <w:marRight w:val="0"/>
      <w:marTop w:val="0"/>
      <w:marBottom w:val="0"/>
      <w:divBdr>
        <w:top w:val="none" w:sz="0" w:space="0" w:color="auto"/>
        <w:left w:val="none" w:sz="0" w:space="0" w:color="auto"/>
        <w:bottom w:val="none" w:sz="0" w:space="0" w:color="auto"/>
        <w:right w:val="none" w:sz="0" w:space="0" w:color="auto"/>
      </w:divBdr>
    </w:div>
    <w:div w:id="1289121746">
      <w:bodyDiv w:val="1"/>
      <w:marLeft w:val="0"/>
      <w:marRight w:val="0"/>
      <w:marTop w:val="0"/>
      <w:marBottom w:val="0"/>
      <w:divBdr>
        <w:top w:val="none" w:sz="0" w:space="0" w:color="auto"/>
        <w:left w:val="none" w:sz="0" w:space="0" w:color="auto"/>
        <w:bottom w:val="none" w:sz="0" w:space="0" w:color="auto"/>
        <w:right w:val="none" w:sz="0" w:space="0" w:color="auto"/>
      </w:divBdr>
      <w:divsChild>
        <w:div w:id="1571620099">
          <w:marLeft w:val="0"/>
          <w:marRight w:val="0"/>
          <w:marTop w:val="0"/>
          <w:marBottom w:val="0"/>
          <w:divBdr>
            <w:top w:val="none" w:sz="0" w:space="0" w:color="auto"/>
            <w:left w:val="none" w:sz="0" w:space="0" w:color="auto"/>
            <w:bottom w:val="none" w:sz="0" w:space="0" w:color="auto"/>
            <w:right w:val="none" w:sz="0" w:space="0" w:color="auto"/>
          </w:divBdr>
          <w:divsChild>
            <w:div w:id="2048872566">
              <w:marLeft w:val="0"/>
              <w:marRight w:val="0"/>
              <w:marTop w:val="0"/>
              <w:marBottom w:val="0"/>
              <w:divBdr>
                <w:top w:val="none" w:sz="0" w:space="0" w:color="auto"/>
                <w:left w:val="none" w:sz="0" w:space="0" w:color="auto"/>
                <w:bottom w:val="none" w:sz="0" w:space="0" w:color="auto"/>
                <w:right w:val="none" w:sz="0" w:space="0" w:color="auto"/>
              </w:divBdr>
            </w:div>
          </w:divsChild>
        </w:div>
        <w:div w:id="1506551693">
          <w:marLeft w:val="0"/>
          <w:marRight w:val="0"/>
          <w:marTop w:val="0"/>
          <w:marBottom w:val="0"/>
          <w:divBdr>
            <w:top w:val="none" w:sz="0" w:space="0" w:color="auto"/>
            <w:left w:val="none" w:sz="0" w:space="0" w:color="auto"/>
            <w:bottom w:val="none" w:sz="0" w:space="0" w:color="auto"/>
            <w:right w:val="none" w:sz="0" w:space="0" w:color="auto"/>
          </w:divBdr>
        </w:div>
        <w:div w:id="191964511">
          <w:marLeft w:val="0"/>
          <w:marRight w:val="0"/>
          <w:marTop w:val="0"/>
          <w:marBottom w:val="0"/>
          <w:divBdr>
            <w:top w:val="none" w:sz="0" w:space="0" w:color="auto"/>
            <w:left w:val="none" w:sz="0" w:space="0" w:color="auto"/>
            <w:bottom w:val="none" w:sz="0" w:space="0" w:color="auto"/>
            <w:right w:val="none" w:sz="0" w:space="0" w:color="auto"/>
          </w:divBdr>
          <w:divsChild>
            <w:div w:id="1631085573">
              <w:marLeft w:val="0"/>
              <w:marRight w:val="0"/>
              <w:marTop w:val="0"/>
              <w:marBottom w:val="0"/>
              <w:divBdr>
                <w:top w:val="none" w:sz="0" w:space="0" w:color="auto"/>
                <w:left w:val="none" w:sz="0" w:space="0" w:color="auto"/>
                <w:bottom w:val="none" w:sz="0" w:space="0" w:color="auto"/>
                <w:right w:val="none" w:sz="0" w:space="0" w:color="auto"/>
              </w:divBdr>
            </w:div>
            <w:div w:id="1187062251">
              <w:marLeft w:val="0"/>
              <w:marRight w:val="0"/>
              <w:marTop w:val="0"/>
              <w:marBottom w:val="0"/>
              <w:divBdr>
                <w:top w:val="none" w:sz="0" w:space="0" w:color="auto"/>
                <w:left w:val="none" w:sz="0" w:space="0" w:color="auto"/>
                <w:bottom w:val="none" w:sz="0" w:space="0" w:color="auto"/>
                <w:right w:val="none" w:sz="0" w:space="0" w:color="auto"/>
              </w:divBdr>
            </w:div>
            <w:div w:id="938637633">
              <w:marLeft w:val="0"/>
              <w:marRight w:val="0"/>
              <w:marTop w:val="0"/>
              <w:marBottom w:val="0"/>
              <w:divBdr>
                <w:top w:val="none" w:sz="0" w:space="0" w:color="auto"/>
                <w:left w:val="none" w:sz="0" w:space="0" w:color="auto"/>
                <w:bottom w:val="none" w:sz="0" w:space="0" w:color="auto"/>
                <w:right w:val="none" w:sz="0" w:space="0" w:color="auto"/>
              </w:divBdr>
            </w:div>
            <w:div w:id="1140729889">
              <w:marLeft w:val="0"/>
              <w:marRight w:val="0"/>
              <w:marTop w:val="0"/>
              <w:marBottom w:val="0"/>
              <w:divBdr>
                <w:top w:val="none" w:sz="0" w:space="0" w:color="auto"/>
                <w:left w:val="none" w:sz="0" w:space="0" w:color="auto"/>
                <w:bottom w:val="none" w:sz="0" w:space="0" w:color="auto"/>
                <w:right w:val="none" w:sz="0" w:space="0" w:color="auto"/>
              </w:divBdr>
              <w:divsChild>
                <w:div w:id="1935163061">
                  <w:marLeft w:val="0"/>
                  <w:marRight w:val="0"/>
                  <w:marTop w:val="0"/>
                  <w:marBottom w:val="0"/>
                  <w:divBdr>
                    <w:top w:val="none" w:sz="0" w:space="0" w:color="auto"/>
                    <w:left w:val="none" w:sz="0" w:space="0" w:color="auto"/>
                    <w:bottom w:val="none" w:sz="0" w:space="0" w:color="auto"/>
                    <w:right w:val="none" w:sz="0" w:space="0" w:color="auto"/>
                  </w:divBdr>
                  <w:divsChild>
                    <w:div w:id="1584144556">
                      <w:marLeft w:val="0"/>
                      <w:marRight w:val="0"/>
                      <w:marTop w:val="0"/>
                      <w:marBottom w:val="0"/>
                      <w:divBdr>
                        <w:top w:val="none" w:sz="0" w:space="0" w:color="auto"/>
                        <w:left w:val="none" w:sz="0" w:space="0" w:color="auto"/>
                        <w:bottom w:val="none" w:sz="0" w:space="0" w:color="auto"/>
                        <w:right w:val="none" w:sz="0" w:space="0" w:color="auto"/>
                      </w:divBdr>
                    </w:div>
                    <w:div w:id="1958445020">
                      <w:marLeft w:val="0"/>
                      <w:marRight w:val="0"/>
                      <w:marTop w:val="0"/>
                      <w:marBottom w:val="0"/>
                      <w:divBdr>
                        <w:top w:val="none" w:sz="0" w:space="0" w:color="auto"/>
                        <w:left w:val="none" w:sz="0" w:space="0" w:color="auto"/>
                        <w:bottom w:val="none" w:sz="0" w:space="0" w:color="auto"/>
                        <w:right w:val="none" w:sz="0" w:space="0" w:color="auto"/>
                      </w:divBdr>
                    </w:div>
                    <w:div w:id="529531477">
                      <w:marLeft w:val="0"/>
                      <w:marRight w:val="0"/>
                      <w:marTop w:val="0"/>
                      <w:marBottom w:val="0"/>
                      <w:divBdr>
                        <w:top w:val="none" w:sz="0" w:space="0" w:color="auto"/>
                        <w:left w:val="none" w:sz="0" w:space="0" w:color="auto"/>
                        <w:bottom w:val="none" w:sz="0" w:space="0" w:color="auto"/>
                        <w:right w:val="none" w:sz="0" w:space="0" w:color="auto"/>
                      </w:divBdr>
                      <w:divsChild>
                        <w:div w:id="1611427723">
                          <w:marLeft w:val="0"/>
                          <w:marRight w:val="0"/>
                          <w:marTop w:val="274"/>
                          <w:marBottom w:val="274"/>
                          <w:divBdr>
                            <w:top w:val="double" w:sz="12" w:space="6" w:color="E0ECFF"/>
                            <w:left w:val="double" w:sz="12" w:space="6" w:color="E0ECFF"/>
                            <w:bottom w:val="double" w:sz="12" w:space="6" w:color="E0ECFF"/>
                            <w:right w:val="double" w:sz="12" w:space="6" w:color="E0ECFF"/>
                          </w:divBdr>
                          <w:divsChild>
                            <w:div w:id="1666932585">
                              <w:marLeft w:val="0"/>
                              <w:marRight w:val="0"/>
                              <w:marTop w:val="0"/>
                              <w:marBottom w:val="0"/>
                              <w:divBdr>
                                <w:top w:val="none" w:sz="0" w:space="0" w:color="auto"/>
                                <w:left w:val="none" w:sz="0" w:space="0" w:color="auto"/>
                                <w:bottom w:val="none" w:sz="0" w:space="0" w:color="auto"/>
                                <w:right w:val="none" w:sz="0" w:space="0" w:color="auto"/>
                              </w:divBdr>
                              <w:divsChild>
                                <w:div w:id="1324820009">
                                  <w:marLeft w:val="0"/>
                                  <w:marRight w:val="0"/>
                                  <w:marTop w:val="0"/>
                                  <w:marBottom w:val="0"/>
                                  <w:divBdr>
                                    <w:top w:val="none" w:sz="0" w:space="0" w:color="auto"/>
                                    <w:left w:val="none" w:sz="0" w:space="0" w:color="auto"/>
                                    <w:bottom w:val="none" w:sz="0" w:space="0" w:color="auto"/>
                                    <w:right w:val="none" w:sz="0" w:space="0" w:color="auto"/>
                                  </w:divBdr>
                                </w:div>
                                <w:div w:id="21693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491330">
                          <w:marLeft w:val="0"/>
                          <w:marRight w:val="0"/>
                          <w:marTop w:val="274"/>
                          <w:marBottom w:val="274"/>
                          <w:divBdr>
                            <w:top w:val="double" w:sz="12" w:space="6" w:color="E0ECFF"/>
                            <w:left w:val="double" w:sz="12" w:space="6" w:color="E0ECFF"/>
                            <w:bottom w:val="double" w:sz="12" w:space="6" w:color="E0ECFF"/>
                            <w:right w:val="double" w:sz="12" w:space="6" w:color="E0ECFF"/>
                          </w:divBdr>
                          <w:divsChild>
                            <w:div w:id="1271812884">
                              <w:marLeft w:val="0"/>
                              <w:marRight w:val="0"/>
                              <w:marTop w:val="0"/>
                              <w:marBottom w:val="0"/>
                              <w:divBdr>
                                <w:top w:val="none" w:sz="0" w:space="0" w:color="auto"/>
                                <w:left w:val="none" w:sz="0" w:space="0" w:color="auto"/>
                                <w:bottom w:val="none" w:sz="0" w:space="0" w:color="auto"/>
                                <w:right w:val="none" w:sz="0" w:space="0" w:color="auto"/>
                              </w:divBdr>
                              <w:divsChild>
                                <w:div w:id="1368218520">
                                  <w:marLeft w:val="0"/>
                                  <w:marRight w:val="0"/>
                                  <w:marTop w:val="0"/>
                                  <w:marBottom w:val="0"/>
                                  <w:divBdr>
                                    <w:top w:val="none" w:sz="0" w:space="0" w:color="auto"/>
                                    <w:left w:val="none" w:sz="0" w:space="0" w:color="auto"/>
                                    <w:bottom w:val="none" w:sz="0" w:space="0" w:color="auto"/>
                                    <w:right w:val="none" w:sz="0" w:space="0" w:color="auto"/>
                                  </w:divBdr>
                                </w:div>
                                <w:div w:id="187834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9496626">
      <w:bodyDiv w:val="1"/>
      <w:marLeft w:val="0"/>
      <w:marRight w:val="0"/>
      <w:marTop w:val="0"/>
      <w:marBottom w:val="0"/>
      <w:divBdr>
        <w:top w:val="none" w:sz="0" w:space="0" w:color="auto"/>
        <w:left w:val="none" w:sz="0" w:space="0" w:color="auto"/>
        <w:bottom w:val="none" w:sz="0" w:space="0" w:color="auto"/>
        <w:right w:val="none" w:sz="0" w:space="0" w:color="auto"/>
      </w:divBdr>
    </w:div>
    <w:div w:id="1472209080">
      <w:bodyDiv w:val="1"/>
      <w:marLeft w:val="0"/>
      <w:marRight w:val="0"/>
      <w:marTop w:val="0"/>
      <w:marBottom w:val="0"/>
      <w:divBdr>
        <w:top w:val="none" w:sz="0" w:space="0" w:color="auto"/>
        <w:left w:val="none" w:sz="0" w:space="0" w:color="auto"/>
        <w:bottom w:val="none" w:sz="0" w:space="0" w:color="auto"/>
        <w:right w:val="none" w:sz="0" w:space="0" w:color="auto"/>
      </w:divBdr>
      <w:divsChild>
        <w:div w:id="454711985">
          <w:marLeft w:val="0"/>
          <w:marRight w:val="0"/>
          <w:marTop w:val="0"/>
          <w:marBottom w:val="0"/>
          <w:divBdr>
            <w:top w:val="none" w:sz="0" w:space="0" w:color="auto"/>
            <w:left w:val="none" w:sz="0" w:space="0" w:color="auto"/>
            <w:bottom w:val="none" w:sz="0" w:space="0" w:color="auto"/>
            <w:right w:val="none" w:sz="0" w:space="0" w:color="auto"/>
          </w:divBdr>
        </w:div>
      </w:divsChild>
    </w:div>
    <w:div w:id="1568154098">
      <w:bodyDiv w:val="1"/>
      <w:marLeft w:val="0"/>
      <w:marRight w:val="0"/>
      <w:marTop w:val="0"/>
      <w:marBottom w:val="0"/>
      <w:divBdr>
        <w:top w:val="none" w:sz="0" w:space="0" w:color="auto"/>
        <w:left w:val="none" w:sz="0" w:space="0" w:color="auto"/>
        <w:bottom w:val="none" w:sz="0" w:space="0" w:color="auto"/>
        <w:right w:val="none" w:sz="0" w:space="0" w:color="auto"/>
      </w:divBdr>
      <w:divsChild>
        <w:div w:id="961420786">
          <w:marLeft w:val="0"/>
          <w:marRight w:val="0"/>
          <w:marTop w:val="0"/>
          <w:marBottom w:val="0"/>
          <w:divBdr>
            <w:top w:val="none" w:sz="0" w:space="0" w:color="auto"/>
            <w:left w:val="none" w:sz="0" w:space="0" w:color="auto"/>
            <w:bottom w:val="none" w:sz="0" w:space="0" w:color="auto"/>
            <w:right w:val="none" w:sz="0" w:space="0" w:color="auto"/>
          </w:divBdr>
          <w:divsChild>
            <w:div w:id="682173657">
              <w:marLeft w:val="0"/>
              <w:marRight w:val="0"/>
              <w:marTop w:val="0"/>
              <w:marBottom w:val="0"/>
              <w:divBdr>
                <w:top w:val="none" w:sz="0" w:space="0" w:color="auto"/>
                <w:left w:val="none" w:sz="0" w:space="0" w:color="auto"/>
                <w:bottom w:val="none" w:sz="0" w:space="0" w:color="auto"/>
                <w:right w:val="none" w:sz="0" w:space="0" w:color="auto"/>
              </w:divBdr>
              <w:divsChild>
                <w:div w:id="638610541">
                  <w:marLeft w:val="0"/>
                  <w:marRight w:val="0"/>
                  <w:marTop w:val="0"/>
                  <w:marBottom w:val="0"/>
                  <w:divBdr>
                    <w:top w:val="none" w:sz="0" w:space="0" w:color="auto"/>
                    <w:left w:val="none" w:sz="0" w:space="0" w:color="auto"/>
                    <w:bottom w:val="none" w:sz="0" w:space="0" w:color="auto"/>
                    <w:right w:val="none" w:sz="0" w:space="0" w:color="auto"/>
                  </w:divBdr>
                  <w:divsChild>
                    <w:div w:id="441456432">
                      <w:marLeft w:val="0"/>
                      <w:marRight w:val="0"/>
                      <w:marTop w:val="0"/>
                      <w:marBottom w:val="0"/>
                      <w:divBdr>
                        <w:top w:val="none" w:sz="0" w:space="0" w:color="auto"/>
                        <w:left w:val="none" w:sz="0" w:space="0" w:color="auto"/>
                        <w:bottom w:val="none" w:sz="0" w:space="0" w:color="auto"/>
                        <w:right w:val="none" w:sz="0" w:space="0" w:color="auto"/>
                      </w:divBdr>
                      <w:divsChild>
                        <w:div w:id="1314027132">
                          <w:marLeft w:val="0"/>
                          <w:marRight w:val="0"/>
                          <w:marTop w:val="0"/>
                          <w:marBottom w:val="0"/>
                          <w:divBdr>
                            <w:top w:val="none" w:sz="0" w:space="0" w:color="auto"/>
                            <w:left w:val="none" w:sz="0" w:space="0" w:color="auto"/>
                            <w:bottom w:val="none" w:sz="0" w:space="0" w:color="auto"/>
                            <w:right w:val="none" w:sz="0" w:space="0" w:color="auto"/>
                          </w:divBdr>
                          <w:divsChild>
                            <w:div w:id="311914893">
                              <w:marLeft w:val="0"/>
                              <w:marRight w:val="0"/>
                              <w:marTop w:val="0"/>
                              <w:marBottom w:val="0"/>
                              <w:divBdr>
                                <w:top w:val="none" w:sz="0" w:space="0" w:color="auto"/>
                                <w:left w:val="none" w:sz="0" w:space="0" w:color="auto"/>
                                <w:bottom w:val="none" w:sz="0" w:space="0" w:color="auto"/>
                                <w:right w:val="none" w:sz="0" w:space="0" w:color="auto"/>
                              </w:divBdr>
                              <w:divsChild>
                                <w:div w:id="403374821">
                                  <w:marLeft w:val="0"/>
                                  <w:marRight w:val="0"/>
                                  <w:marTop w:val="0"/>
                                  <w:marBottom w:val="0"/>
                                  <w:divBdr>
                                    <w:top w:val="none" w:sz="0" w:space="0" w:color="auto"/>
                                    <w:left w:val="none" w:sz="0" w:space="0" w:color="auto"/>
                                    <w:bottom w:val="none" w:sz="0" w:space="0" w:color="auto"/>
                                    <w:right w:val="none" w:sz="0" w:space="0" w:color="auto"/>
                                  </w:divBdr>
                                  <w:divsChild>
                                    <w:div w:id="45298592">
                                      <w:marLeft w:val="0"/>
                                      <w:marRight w:val="0"/>
                                      <w:marTop w:val="0"/>
                                      <w:marBottom w:val="0"/>
                                      <w:divBdr>
                                        <w:top w:val="none" w:sz="0" w:space="0" w:color="auto"/>
                                        <w:left w:val="none" w:sz="0" w:space="0" w:color="auto"/>
                                        <w:bottom w:val="none" w:sz="0" w:space="0" w:color="auto"/>
                                        <w:right w:val="none" w:sz="0" w:space="0" w:color="auto"/>
                                      </w:divBdr>
                                      <w:divsChild>
                                        <w:div w:id="310524051">
                                          <w:marLeft w:val="0"/>
                                          <w:marRight w:val="0"/>
                                          <w:marTop w:val="0"/>
                                          <w:marBottom w:val="0"/>
                                          <w:divBdr>
                                            <w:top w:val="none" w:sz="0" w:space="0" w:color="auto"/>
                                            <w:left w:val="none" w:sz="0" w:space="0" w:color="auto"/>
                                            <w:bottom w:val="none" w:sz="0" w:space="0" w:color="auto"/>
                                            <w:right w:val="none" w:sz="0" w:space="0" w:color="auto"/>
                                          </w:divBdr>
                                          <w:divsChild>
                                            <w:div w:id="1063597320">
                                              <w:marLeft w:val="0"/>
                                              <w:marRight w:val="0"/>
                                              <w:marTop w:val="0"/>
                                              <w:marBottom w:val="0"/>
                                              <w:divBdr>
                                                <w:top w:val="none" w:sz="0" w:space="0" w:color="auto"/>
                                                <w:left w:val="none" w:sz="0" w:space="0" w:color="auto"/>
                                                <w:bottom w:val="none" w:sz="0" w:space="0" w:color="auto"/>
                                                <w:right w:val="none" w:sz="0" w:space="0" w:color="auto"/>
                                              </w:divBdr>
                                              <w:divsChild>
                                                <w:div w:id="551381908">
                                                  <w:marLeft w:val="0"/>
                                                  <w:marRight w:val="0"/>
                                                  <w:marTop w:val="0"/>
                                                  <w:marBottom w:val="0"/>
                                                  <w:divBdr>
                                                    <w:top w:val="none" w:sz="0" w:space="0" w:color="auto"/>
                                                    <w:left w:val="none" w:sz="0" w:space="0" w:color="auto"/>
                                                    <w:bottom w:val="none" w:sz="0" w:space="0" w:color="auto"/>
                                                    <w:right w:val="none" w:sz="0" w:space="0" w:color="auto"/>
                                                  </w:divBdr>
                                                  <w:divsChild>
                                                    <w:div w:id="1243368581">
                                                      <w:marLeft w:val="0"/>
                                                      <w:marRight w:val="0"/>
                                                      <w:marTop w:val="0"/>
                                                      <w:marBottom w:val="0"/>
                                                      <w:divBdr>
                                                        <w:top w:val="none" w:sz="0" w:space="0" w:color="auto"/>
                                                        <w:left w:val="none" w:sz="0" w:space="0" w:color="auto"/>
                                                        <w:bottom w:val="none" w:sz="0" w:space="0" w:color="auto"/>
                                                        <w:right w:val="none" w:sz="0" w:space="0" w:color="auto"/>
                                                      </w:divBdr>
                                                      <w:divsChild>
                                                        <w:div w:id="1802843922">
                                                          <w:marLeft w:val="0"/>
                                                          <w:marRight w:val="0"/>
                                                          <w:marTop w:val="0"/>
                                                          <w:marBottom w:val="0"/>
                                                          <w:divBdr>
                                                            <w:top w:val="none" w:sz="0" w:space="0" w:color="auto"/>
                                                            <w:left w:val="none" w:sz="0" w:space="0" w:color="auto"/>
                                                            <w:bottom w:val="none" w:sz="0" w:space="0" w:color="auto"/>
                                                            <w:right w:val="none" w:sz="0" w:space="0" w:color="auto"/>
                                                          </w:divBdr>
                                                          <w:divsChild>
                                                            <w:div w:id="1480228429">
                                                              <w:marLeft w:val="0"/>
                                                              <w:marRight w:val="0"/>
                                                              <w:marTop w:val="0"/>
                                                              <w:marBottom w:val="0"/>
                                                              <w:divBdr>
                                                                <w:top w:val="none" w:sz="0" w:space="0" w:color="auto"/>
                                                                <w:left w:val="none" w:sz="0" w:space="0" w:color="auto"/>
                                                                <w:bottom w:val="none" w:sz="0" w:space="0" w:color="auto"/>
                                                                <w:right w:val="none" w:sz="0" w:space="0" w:color="auto"/>
                                                              </w:divBdr>
                                                              <w:divsChild>
                                                                <w:div w:id="436482124">
                                                                  <w:marLeft w:val="0"/>
                                                                  <w:marRight w:val="0"/>
                                                                  <w:marTop w:val="0"/>
                                                                  <w:marBottom w:val="0"/>
                                                                  <w:divBdr>
                                                                    <w:top w:val="none" w:sz="0" w:space="0" w:color="auto"/>
                                                                    <w:left w:val="none" w:sz="0" w:space="0" w:color="auto"/>
                                                                    <w:bottom w:val="none" w:sz="0" w:space="0" w:color="auto"/>
                                                                    <w:right w:val="none" w:sz="0" w:space="0" w:color="auto"/>
                                                                  </w:divBdr>
                                                                  <w:divsChild>
                                                                    <w:div w:id="864944679">
                                                                      <w:marLeft w:val="0"/>
                                                                      <w:marRight w:val="0"/>
                                                                      <w:marTop w:val="0"/>
                                                                      <w:marBottom w:val="0"/>
                                                                      <w:divBdr>
                                                                        <w:top w:val="none" w:sz="0" w:space="0" w:color="auto"/>
                                                                        <w:left w:val="none" w:sz="0" w:space="0" w:color="auto"/>
                                                                        <w:bottom w:val="none" w:sz="0" w:space="0" w:color="auto"/>
                                                                        <w:right w:val="none" w:sz="0" w:space="0" w:color="auto"/>
                                                                      </w:divBdr>
                                                                      <w:divsChild>
                                                                        <w:div w:id="1395012106">
                                                                          <w:marLeft w:val="0"/>
                                                                          <w:marRight w:val="0"/>
                                                                          <w:marTop w:val="0"/>
                                                                          <w:marBottom w:val="0"/>
                                                                          <w:divBdr>
                                                                            <w:top w:val="none" w:sz="0" w:space="0" w:color="auto"/>
                                                                            <w:left w:val="none" w:sz="0" w:space="0" w:color="auto"/>
                                                                            <w:bottom w:val="none" w:sz="0" w:space="0" w:color="auto"/>
                                                                            <w:right w:val="none" w:sz="0" w:space="0" w:color="auto"/>
                                                                          </w:divBdr>
                                                                          <w:divsChild>
                                                                            <w:div w:id="348064040">
                                                                              <w:marLeft w:val="0"/>
                                                                              <w:marRight w:val="0"/>
                                                                              <w:marTop w:val="0"/>
                                                                              <w:marBottom w:val="0"/>
                                                                              <w:divBdr>
                                                                                <w:top w:val="none" w:sz="0" w:space="0" w:color="auto"/>
                                                                                <w:left w:val="none" w:sz="0" w:space="0" w:color="auto"/>
                                                                                <w:bottom w:val="none" w:sz="0" w:space="0" w:color="auto"/>
                                                                                <w:right w:val="none" w:sz="0" w:space="0" w:color="auto"/>
                                                                              </w:divBdr>
                                                                              <w:divsChild>
                                                                                <w:div w:id="1795754369">
                                                                                  <w:marLeft w:val="0"/>
                                                                                  <w:marRight w:val="0"/>
                                                                                  <w:marTop w:val="0"/>
                                                                                  <w:marBottom w:val="0"/>
                                                                                  <w:divBdr>
                                                                                    <w:top w:val="none" w:sz="0" w:space="0" w:color="auto"/>
                                                                                    <w:left w:val="none" w:sz="0" w:space="0" w:color="auto"/>
                                                                                    <w:bottom w:val="none" w:sz="0" w:space="0" w:color="auto"/>
                                                                                    <w:right w:val="none" w:sz="0" w:space="0" w:color="auto"/>
                                                                                  </w:divBdr>
                                                                                  <w:divsChild>
                                                                                    <w:div w:id="653608157">
                                                                                      <w:marLeft w:val="0"/>
                                                                                      <w:marRight w:val="0"/>
                                                                                      <w:marTop w:val="0"/>
                                                                                      <w:marBottom w:val="0"/>
                                                                                      <w:divBdr>
                                                                                        <w:top w:val="none" w:sz="0" w:space="0" w:color="auto"/>
                                                                                        <w:left w:val="none" w:sz="0" w:space="0" w:color="auto"/>
                                                                                        <w:bottom w:val="none" w:sz="0" w:space="0" w:color="auto"/>
                                                                                        <w:right w:val="none" w:sz="0" w:space="0" w:color="auto"/>
                                                                                      </w:divBdr>
                                                                                      <w:divsChild>
                                                                                        <w:div w:id="218367287">
                                                                                          <w:marLeft w:val="0"/>
                                                                                          <w:marRight w:val="0"/>
                                                                                          <w:marTop w:val="0"/>
                                                                                          <w:marBottom w:val="0"/>
                                                                                          <w:divBdr>
                                                                                            <w:top w:val="none" w:sz="0" w:space="0" w:color="auto"/>
                                                                                            <w:left w:val="none" w:sz="0" w:space="0" w:color="auto"/>
                                                                                            <w:bottom w:val="none" w:sz="0" w:space="0" w:color="auto"/>
                                                                                            <w:right w:val="none" w:sz="0" w:space="0" w:color="auto"/>
                                                                                          </w:divBdr>
                                                                                          <w:divsChild>
                                                                                            <w:div w:id="1448769895">
                                                                                              <w:marLeft w:val="0"/>
                                                                                              <w:marRight w:val="0"/>
                                                                                              <w:marTop w:val="0"/>
                                                                                              <w:marBottom w:val="0"/>
                                                                                              <w:divBdr>
                                                                                                <w:top w:val="none" w:sz="0" w:space="0" w:color="auto"/>
                                                                                                <w:left w:val="none" w:sz="0" w:space="0" w:color="auto"/>
                                                                                                <w:bottom w:val="none" w:sz="0" w:space="0" w:color="auto"/>
                                                                                                <w:right w:val="none" w:sz="0" w:space="0" w:color="auto"/>
                                                                                              </w:divBdr>
                                                                                              <w:divsChild>
                                                                                                <w:div w:id="406155431">
                                                                                                  <w:marLeft w:val="0"/>
                                                                                                  <w:marRight w:val="0"/>
                                                                                                  <w:marTop w:val="0"/>
                                                                                                  <w:marBottom w:val="0"/>
                                                                                                  <w:divBdr>
                                                                                                    <w:top w:val="none" w:sz="0" w:space="0" w:color="auto"/>
                                                                                                    <w:left w:val="none" w:sz="0" w:space="0" w:color="auto"/>
                                                                                                    <w:bottom w:val="none" w:sz="0" w:space="0" w:color="auto"/>
                                                                                                    <w:right w:val="none" w:sz="0" w:space="0" w:color="auto"/>
                                                                                                  </w:divBdr>
                                                                                                  <w:divsChild>
                                                                                                    <w:div w:id="875703073">
                                                                                                      <w:marLeft w:val="0"/>
                                                                                                      <w:marRight w:val="0"/>
                                                                                                      <w:marTop w:val="0"/>
                                                                                                      <w:marBottom w:val="0"/>
                                                                                                      <w:divBdr>
                                                                                                        <w:top w:val="none" w:sz="0" w:space="0" w:color="auto"/>
                                                                                                        <w:left w:val="none" w:sz="0" w:space="0" w:color="auto"/>
                                                                                                        <w:bottom w:val="none" w:sz="0" w:space="0" w:color="auto"/>
                                                                                                        <w:right w:val="none" w:sz="0" w:space="0" w:color="auto"/>
                                                                                                      </w:divBdr>
                                                                                                      <w:divsChild>
                                                                                                        <w:div w:id="460805701">
                                                                                                          <w:marLeft w:val="0"/>
                                                                                                          <w:marRight w:val="0"/>
                                                                                                          <w:marTop w:val="0"/>
                                                                                                          <w:marBottom w:val="525"/>
                                                                                                          <w:divBdr>
                                                                                                            <w:top w:val="none" w:sz="0" w:space="0" w:color="auto"/>
                                                                                                            <w:left w:val="none" w:sz="0" w:space="0" w:color="auto"/>
                                                                                                            <w:bottom w:val="none" w:sz="0" w:space="0" w:color="auto"/>
                                                                                                            <w:right w:val="none" w:sz="0" w:space="0" w:color="auto"/>
                                                                                                          </w:divBdr>
                                                                                                          <w:divsChild>
                                                                                                            <w:div w:id="29571076">
                                                                                                              <w:marLeft w:val="0"/>
                                                                                                              <w:marRight w:val="0"/>
                                                                                                              <w:marTop w:val="0"/>
                                                                                                              <w:marBottom w:val="0"/>
                                                                                                              <w:divBdr>
                                                                                                                <w:top w:val="none" w:sz="0" w:space="0" w:color="auto"/>
                                                                                                                <w:left w:val="none" w:sz="0" w:space="0" w:color="auto"/>
                                                                                                                <w:bottom w:val="none" w:sz="0" w:space="0" w:color="auto"/>
                                                                                                                <w:right w:val="none" w:sz="0" w:space="0" w:color="auto"/>
                                                                                                              </w:divBdr>
                                                                                                              <w:divsChild>
                                                                                                                <w:div w:id="2025016038">
                                                                                                                  <w:marLeft w:val="0"/>
                                                                                                                  <w:marRight w:val="0"/>
                                                                                                                  <w:marTop w:val="0"/>
                                                                                                                  <w:marBottom w:val="0"/>
                                                                                                                  <w:divBdr>
                                                                                                                    <w:top w:val="none" w:sz="0" w:space="0" w:color="auto"/>
                                                                                                                    <w:left w:val="none" w:sz="0" w:space="0" w:color="auto"/>
                                                                                                                    <w:bottom w:val="none" w:sz="0" w:space="0" w:color="auto"/>
                                                                                                                    <w:right w:val="none" w:sz="0" w:space="0" w:color="auto"/>
                                                                                                                  </w:divBdr>
                                                                                                                  <w:divsChild>
                                                                                                                    <w:div w:id="1543059497">
                                                                                                                      <w:marLeft w:val="0"/>
                                                                                                                      <w:marRight w:val="0"/>
                                                                                                                      <w:marTop w:val="0"/>
                                                                                                                      <w:marBottom w:val="0"/>
                                                                                                                      <w:divBdr>
                                                                                                                        <w:top w:val="none" w:sz="0" w:space="0" w:color="auto"/>
                                                                                                                        <w:left w:val="none" w:sz="0" w:space="0" w:color="auto"/>
                                                                                                                        <w:bottom w:val="none" w:sz="0" w:space="0" w:color="auto"/>
                                                                                                                        <w:right w:val="none" w:sz="0" w:space="0" w:color="auto"/>
                                                                                                                      </w:divBdr>
                                                                                                                    </w:div>
                                                                                                                    <w:div w:id="317736353">
                                                                                                                      <w:marLeft w:val="0"/>
                                                                                                                      <w:marRight w:val="0"/>
                                                                                                                      <w:marTop w:val="0"/>
                                                                                                                      <w:marBottom w:val="0"/>
                                                                                                                      <w:divBdr>
                                                                                                                        <w:top w:val="none" w:sz="0" w:space="0" w:color="auto"/>
                                                                                                                        <w:left w:val="none" w:sz="0" w:space="0" w:color="auto"/>
                                                                                                                        <w:bottom w:val="none" w:sz="0" w:space="0" w:color="auto"/>
                                                                                                                        <w:right w:val="none" w:sz="0" w:space="0" w:color="auto"/>
                                                                                                                      </w:divBdr>
                                                                                                                    </w:div>
                                                                                                                    <w:div w:id="1429960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9471498">
      <w:bodyDiv w:val="1"/>
      <w:marLeft w:val="0"/>
      <w:marRight w:val="0"/>
      <w:marTop w:val="0"/>
      <w:marBottom w:val="0"/>
      <w:divBdr>
        <w:top w:val="none" w:sz="0" w:space="0" w:color="auto"/>
        <w:left w:val="none" w:sz="0" w:space="0" w:color="auto"/>
        <w:bottom w:val="none" w:sz="0" w:space="0" w:color="auto"/>
        <w:right w:val="none" w:sz="0" w:space="0" w:color="auto"/>
      </w:divBdr>
    </w:div>
    <w:div w:id="1771124672">
      <w:bodyDiv w:val="1"/>
      <w:marLeft w:val="0"/>
      <w:marRight w:val="0"/>
      <w:marTop w:val="0"/>
      <w:marBottom w:val="0"/>
      <w:divBdr>
        <w:top w:val="none" w:sz="0" w:space="0" w:color="auto"/>
        <w:left w:val="none" w:sz="0" w:space="0" w:color="auto"/>
        <w:bottom w:val="none" w:sz="0" w:space="0" w:color="auto"/>
        <w:right w:val="none" w:sz="0" w:space="0" w:color="auto"/>
      </w:divBdr>
    </w:div>
    <w:div w:id="1873877697">
      <w:bodyDiv w:val="1"/>
      <w:marLeft w:val="0"/>
      <w:marRight w:val="0"/>
      <w:marTop w:val="0"/>
      <w:marBottom w:val="0"/>
      <w:divBdr>
        <w:top w:val="none" w:sz="0" w:space="0" w:color="auto"/>
        <w:left w:val="none" w:sz="0" w:space="0" w:color="auto"/>
        <w:bottom w:val="none" w:sz="0" w:space="0" w:color="auto"/>
        <w:right w:val="none" w:sz="0" w:space="0" w:color="auto"/>
      </w:divBdr>
    </w:div>
    <w:div w:id="1875923782">
      <w:bodyDiv w:val="1"/>
      <w:marLeft w:val="0"/>
      <w:marRight w:val="0"/>
      <w:marTop w:val="0"/>
      <w:marBottom w:val="0"/>
      <w:divBdr>
        <w:top w:val="none" w:sz="0" w:space="0" w:color="auto"/>
        <w:left w:val="none" w:sz="0" w:space="0" w:color="auto"/>
        <w:bottom w:val="none" w:sz="0" w:space="0" w:color="auto"/>
        <w:right w:val="none" w:sz="0" w:space="0" w:color="auto"/>
      </w:divBdr>
    </w:div>
    <w:div w:id="1912035012">
      <w:bodyDiv w:val="1"/>
      <w:marLeft w:val="0"/>
      <w:marRight w:val="0"/>
      <w:marTop w:val="0"/>
      <w:marBottom w:val="0"/>
      <w:divBdr>
        <w:top w:val="none" w:sz="0" w:space="0" w:color="auto"/>
        <w:left w:val="none" w:sz="0" w:space="0" w:color="auto"/>
        <w:bottom w:val="none" w:sz="0" w:space="0" w:color="auto"/>
        <w:right w:val="none" w:sz="0" w:space="0" w:color="auto"/>
      </w:divBdr>
    </w:div>
    <w:div w:id="1963271197">
      <w:bodyDiv w:val="1"/>
      <w:marLeft w:val="0"/>
      <w:marRight w:val="0"/>
      <w:marTop w:val="0"/>
      <w:marBottom w:val="0"/>
      <w:divBdr>
        <w:top w:val="none" w:sz="0" w:space="0" w:color="auto"/>
        <w:left w:val="none" w:sz="0" w:space="0" w:color="auto"/>
        <w:bottom w:val="none" w:sz="0" w:space="0" w:color="auto"/>
        <w:right w:val="none" w:sz="0" w:space="0" w:color="auto"/>
      </w:divBdr>
    </w:div>
    <w:div w:id="1973166876">
      <w:bodyDiv w:val="1"/>
      <w:marLeft w:val="0"/>
      <w:marRight w:val="0"/>
      <w:marTop w:val="0"/>
      <w:marBottom w:val="0"/>
      <w:divBdr>
        <w:top w:val="none" w:sz="0" w:space="0" w:color="auto"/>
        <w:left w:val="none" w:sz="0" w:space="0" w:color="auto"/>
        <w:bottom w:val="none" w:sz="0" w:space="0" w:color="auto"/>
        <w:right w:val="none" w:sz="0" w:space="0" w:color="auto"/>
      </w:divBdr>
    </w:div>
    <w:div w:id="2026402968">
      <w:bodyDiv w:val="1"/>
      <w:marLeft w:val="0"/>
      <w:marRight w:val="0"/>
      <w:marTop w:val="0"/>
      <w:marBottom w:val="0"/>
      <w:divBdr>
        <w:top w:val="none" w:sz="0" w:space="0" w:color="auto"/>
        <w:left w:val="none" w:sz="0" w:space="0" w:color="auto"/>
        <w:bottom w:val="none" w:sz="0" w:space="0" w:color="auto"/>
        <w:right w:val="none" w:sz="0" w:space="0" w:color="auto"/>
      </w:divBdr>
    </w:div>
    <w:div w:id="2064327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13" Type="http://schemas.openxmlformats.org/officeDocument/2006/relationships/hyperlink" Target="https://www.abs.gov.au/ausstats/abs@.nsf/Lookup/by%20Subject/4364.0.55.001~2017-18~Main%20Features~More%20than%20two%20thirds%20of%20Australians%20now%20overweight%20or%20obese%20(Media%20Release)~215" TargetMode="External"/><Relationship Id="rId18" Type="http://schemas.openxmlformats.org/officeDocument/2006/relationships/hyperlink" Target="https://www.saxinstitute.org.au/wp-content/uploads/19.11_Evidence-Check_Population-level-strategies-to-support-healthy-weight.pdf" TargetMode="External"/><Relationship Id="rId26" Type="http://schemas.openxmlformats.org/officeDocument/2006/relationships/hyperlink" Target="http://www.euro.who.int/en/health-topics/disease-prevention/nutrition/publications/2019/ending-inappropriate-promotion-of-commercially-available-complementary-foods-for-infants-and-young-children-between-6-and-36-months-in-europe-2019" TargetMode="External"/><Relationship Id="rId39" Type="http://schemas.openxmlformats.org/officeDocument/2006/relationships/hyperlink" Target="https://aa4ed193-10bb-4e34-8c1c-65e97daef1a8.filesusr.com/ugd/2e3337_f3dc17c247b04421b324928304933e5d.pdf" TargetMode="External"/><Relationship Id="rId21" Type="http://schemas.openxmlformats.org/officeDocument/2006/relationships/hyperlink" Target="https://www.georgeinstitute.org/sites/default/files/meat_alternatives_key_findings_report.pdf" TargetMode="External"/><Relationship Id="rId34" Type="http://schemas.openxmlformats.org/officeDocument/2006/relationships/hyperlink" Target="https://docs.wto.org/dol2fe/Pages/SS/directdoc.aspx?filename=q:/G/TBTN19/SAU1108A3C1.pdf&amp;Open=True" TargetMode="External"/><Relationship Id="rId42" Type="http://schemas.openxmlformats.org/officeDocument/2006/relationships/hyperlink" Target="https://www.health.govt.nz/system/files/documents/pages/food-industry-taskforce-final-report.pdf" TargetMode="External"/><Relationship Id="rId47" Type="http://schemas.openxmlformats.org/officeDocument/2006/relationships/hyperlink" Target="https://policydatabase.wcrf.org/" TargetMode="External"/><Relationship Id="rId50" Type="http://schemas.openxmlformats.org/officeDocument/2006/relationships/hyperlink" Target="https://policydatabase.wcrf.org/" TargetMode="External"/><Relationship Id="rId55" Type="http://schemas.openxmlformats.org/officeDocument/2006/relationships/hyperlink" Target="https://assets.publishing.service.gov.uk/government/uploads/system/uploads/attachment_data/file/839756/Sugar_reduction_yr2_progress_report.pdf" TargetMode="External"/><Relationship Id="rId63" Type="http://schemas.openxmlformats.org/officeDocument/2006/relationships/hyperlink" Target="http://data.daff.gov.au/data/warehouse/9aat/2018/fdati9aat20180822/FoodDemandInAustralia_20180822_v1.0.0.pdf" TargetMode="External"/><Relationship Id="rId68" Type="http://schemas.openxmlformats.org/officeDocument/2006/relationships/hyperlink" Target="http://ihmeuw.org/52z8" TargetMode="External"/><Relationship Id="rId76" Type="http://schemas.openxmlformats.org/officeDocument/2006/relationships/hyperlink" Target="https://www.abs.gov.au/ausstats/abs@.nsf/Lookup/4364.0.55.011main+features12011-12" TargetMode="External"/><Relationship Id="rId84" Type="http://schemas.openxmlformats.org/officeDocument/2006/relationships/hyperlink" Target="https://vizhub.healthdata.org/gbd-compare/" TargetMode="External"/><Relationship Id="rId89" Type="http://schemas.openxmlformats.org/officeDocument/2006/relationships/hyperlink" Target="https://doi.org/10.3945/ajcn.115.125146" TargetMode="External"/><Relationship Id="rId7" Type="http://schemas.openxmlformats.org/officeDocument/2006/relationships/hyperlink" Target="https://www.abs.gov.au/ausstats/abs@.nsf/Lookup/4364.0.55.011main+features12011-12" TargetMode="External"/><Relationship Id="rId71" Type="http://schemas.openxmlformats.org/officeDocument/2006/relationships/hyperlink" Target="https://www.heartfoundation.org.au/getmedia/e27233c8-73d5-4c37-9416-ad7592af593c/Expert-Commentary-Levels-of-trans-fats-in-the-food-supply-and-consumption-in-Australia.pdf" TargetMode="External"/><Relationship Id="rId92" Type="http://schemas.openxmlformats.org/officeDocument/2006/relationships/hyperlink" Target="https://www.glnc.org.au/wp-content/uploads/2013/12/GLNC-Code-of-Practice-for-Whole-Grain-Ingredient-Content-Claims-2017.pdf" TargetMode="External"/><Relationship Id="rId2" Type="http://schemas.openxmlformats.org/officeDocument/2006/relationships/hyperlink" Target="https://www.health.govt.nz/publication/eating-and-activity-guidelines-new-zealand-adults" TargetMode="External"/><Relationship Id="rId16" Type="http://schemas.openxmlformats.org/officeDocument/2006/relationships/hyperlink" Target="https://www.heartfoundation.org.au/getmedia/2bcb1637-1a86-48fc-bb6c-b243c4746272/RapidReview_FoodReformulation.pdf" TargetMode="External"/><Relationship Id="rId29" Type="http://schemas.openxmlformats.org/officeDocument/2006/relationships/hyperlink" Target="https://apps.who.int/iris/bitstream/handle/10665/259232/WHO-NMH-NVI-17.9-eng.pdf;jsessionid=7BD836E477124A3F951AAA316956F5F1?sequence=1" TargetMode="External"/><Relationship Id="rId11" Type="http://schemas.openxmlformats.org/officeDocument/2006/relationships/hyperlink" Target="https://minhealthnz.shinyapps.io/nz-health-survey-2018-19-annual-data-explorer/_w_39c3fd25/" TargetMode="External"/><Relationship Id="rId24" Type="http://schemas.openxmlformats.org/officeDocument/2006/relationships/hyperlink" Target="http://www.healthstarrating.gov.au/internet/healthstarrating/publishing.nsf/Content/474CBBEC911CFF01CA25803A007E7B2B/$File/HSR-Area-of-Enquiry-2-Wave-5-July-2018.pdf" TargetMode="External"/><Relationship Id="rId32" Type="http://schemas.openxmlformats.org/officeDocument/2006/relationships/hyperlink" Target="https://www.who.int/news-room/fact-sheets/detail/salt-reduction" TargetMode="External"/><Relationship Id="rId37" Type="http://schemas.openxmlformats.org/officeDocument/2006/relationships/hyperlink" Target="https://docs.wixstatic.com/ugd/2e3337_63e52a246da94400a9ad25820e77927b.pdf" TargetMode="External"/><Relationship Id="rId40" Type="http://schemas.openxmlformats.org/officeDocument/2006/relationships/hyperlink" Target="https://www.australianbeverages.org/initiatives-advocacy-information/sugar-reduction-pledge/" TargetMode="External"/><Relationship Id="rId45" Type="http://schemas.openxmlformats.org/officeDocument/2006/relationships/hyperlink" Target="https://www.nestle.co.nz/csv/nutrition" TargetMode="External"/><Relationship Id="rId53" Type="http://schemas.openxmlformats.org/officeDocument/2006/relationships/hyperlink" Target="https://www.mpi.govt.nz/dmsdocument/31635-the-health-star-rating-system-in-new-zealand-2014-2018" TargetMode="External"/><Relationship Id="rId58" Type="http://schemas.openxmlformats.org/officeDocument/2006/relationships/hyperlink" Target="https://www.nrv.gov.au/home" TargetMode="External"/><Relationship Id="rId66" Type="http://schemas.openxmlformats.org/officeDocument/2006/relationships/hyperlink" Target="http://www.roymorgan.com/findings/7613-new-zealand-eating-habits-eating-in-out-qsr-restaurants-march-2018-201805310031" TargetMode="External"/><Relationship Id="rId74" Type="http://schemas.openxmlformats.org/officeDocument/2006/relationships/hyperlink" Target="https://www.who.int/docs/default-source/documents/replace-transfats/replace-trans-fat-faqs.pdf?Status=Temp&amp;sfvrsn=956d171f_6" TargetMode="External"/><Relationship Id="rId79" Type="http://schemas.openxmlformats.org/officeDocument/2006/relationships/hyperlink" Target="https://www.australianbeverages.org/initiatives-advocacy-information/sugar-reduction-pledge/" TargetMode="External"/><Relationship Id="rId87" Type="http://schemas.openxmlformats.org/officeDocument/2006/relationships/hyperlink" Target="https://www.abs.gov.au/AUSSTATS/abs@.nsf/DetailsPage/4364.0.55.0072011-12?OpenDocument" TargetMode="External"/><Relationship Id="rId5" Type="http://schemas.openxmlformats.org/officeDocument/2006/relationships/hyperlink" Target="https://www.nrv.gov.au/home" TargetMode="External"/><Relationship Id="rId61" Type="http://schemas.openxmlformats.org/officeDocument/2006/relationships/hyperlink" Target="https://www.health.govt.nz/publication/focus-pacific-nutrition" TargetMode="External"/><Relationship Id="rId82" Type="http://schemas.openxmlformats.org/officeDocument/2006/relationships/hyperlink" Target="https://apps.who.int/iris/bitstream/handle/10665/259232/WHO-NMH-NVI-17.9-eng.pdf;jsessionid=7BD836E477124A3F951AAA316956F5F1?sequence=1" TargetMode="External"/><Relationship Id="rId90" Type="http://schemas.openxmlformats.org/officeDocument/2006/relationships/hyperlink" Target="https://www.georgeinstitute.org/sites/default/files/salt_levels_in_childrens_meal_key_findings_report_with_tables.pdf" TargetMode="External"/><Relationship Id="rId19" Type="http://schemas.openxmlformats.org/officeDocument/2006/relationships/hyperlink" Target="https://apps.who.int/iris/bitstream/handle/10665/326261/9789241515856-eng.pdf" TargetMode="External"/><Relationship Id="rId14" Type="http://schemas.openxmlformats.org/officeDocument/2006/relationships/hyperlink" Target="https://www.abs.gov.au/ausstats/abs@.nsf/Lookup/by%20Subject/4364.0.55.001~2017-18~Main%20Features~Children's%20risk%20factors~120" TargetMode="External"/><Relationship Id="rId22" Type="http://schemas.openxmlformats.org/officeDocument/2006/relationships/hyperlink" Target="https://www.georgeinstitute.org.au/sites/default/files/salt-in-bread-key-findings-report-2017.pdf" TargetMode="External"/><Relationship Id="rId27" Type="http://schemas.openxmlformats.org/officeDocument/2006/relationships/hyperlink" Target="https://www.who.int/news-room/detail/09-09-2020-more-than-3-billion-people-protected-from-harmful-trans-fat-in-their-food" TargetMode="External"/><Relationship Id="rId30" Type="http://schemas.openxmlformats.org/officeDocument/2006/relationships/hyperlink" Target="https://www.who.int/teams/nutrition-and-food-safety/replace-transfat" TargetMode="External"/><Relationship Id="rId35" Type="http://schemas.openxmlformats.org/officeDocument/2006/relationships/hyperlink" Target="https://www.heartfoundation.org.au/getmedia/2bcb1637-1a86-48fc-bb6c-b243c4746272/RapidReview_FoodReformulation.pdf" TargetMode="External"/><Relationship Id="rId43" Type="http://schemas.openxmlformats.org/officeDocument/2006/relationships/hyperlink" Target="https://www.fgc.org.nz/company-nutrition-polices-product-formulation/" TargetMode="External"/><Relationship Id="rId48" Type="http://schemas.openxmlformats.org/officeDocument/2006/relationships/hyperlink" Target="https://www.heartfoundation.org.au/getmedia/2bcb1637-1a86-48fc-bb6c-b243c4746272/RapidReview_FoodReformulation.pdf" TargetMode="External"/><Relationship Id="rId56" Type="http://schemas.openxmlformats.org/officeDocument/2006/relationships/hyperlink" Target="https://www.heartfoundation.org.au/activities-finding-or-opinion/food-and-nutrition-position-statements" TargetMode="External"/><Relationship Id="rId64" Type="http://schemas.openxmlformats.org/officeDocument/2006/relationships/hyperlink" Target="https://www.stats.govt.nz/assets/Uploads/Household-expenditure-statistics/Household-expenditure-statistics-year-ended-june-2016/household-expenditure-statistics-year-ended-june-2016.xlsx" TargetMode="External"/><Relationship Id="rId69" Type="http://schemas.openxmlformats.org/officeDocument/2006/relationships/hyperlink" Target="http://www.foodstandards.gov.au/publications/documents/TFAs_intakes_2009.pdf" TargetMode="External"/><Relationship Id="rId77" Type="http://schemas.openxmlformats.org/officeDocument/2006/relationships/hyperlink" Target="https://ourarchive.otago.ac.nz/handle/10523/7204" TargetMode="External"/><Relationship Id="rId8" Type="http://schemas.openxmlformats.org/officeDocument/2006/relationships/hyperlink" Target="https://www.abs.gov.au/ausstats/abs@.nsf/Lookup/by%20Subject/4364.0.55.007~2011-12~Main%20Features~Sodium~715" TargetMode="External"/><Relationship Id="rId51" Type="http://schemas.openxmlformats.org/officeDocument/2006/relationships/hyperlink" Target="https://www.gov.uk/government/publications/calorie-reduction-the-scope-and-ambition-for-action" TargetMode="External"/><Relationship Id="rId72" Type="http://schemas.openxmlformats.org/officeDocument/2006/relationships/hyperlink" Target="https://www.foodstandards.gov.au/publications/Documents/Assessment%20of%20Trans%20Fatty%20Acids%20in%20Imported%20Oils.pdf" TargetMode="External"/><Relationship Id="rId80" Type="http://schemas.openxmlformats.org/officeDocument/2006/relationships/hyperlink" Target="https://www.abs.gov.au/ausstats/abs@.nsf/Lookup/by%20Subject/4364.0.55.001~2017-18~Main%20Features~Sugar%20sweetened%20and%20diet%20drink%20consumption~110" TargetMode="External"/><Relationship Id="rId85" Type="http://schemas.openxmlformats.org/officeDocument/2006/relationships/hyperlink" Target="https://www.abs.gov.au/AUSSTATS/abs@.nsf/DetailsPage/4364.0.55.0072011-12?OpenDocument" TargetMode="External"/><Relationship Id="rId93" Type="http://schemas.openxmlformats.org/officeDocument/2006/relationships/hyperlink" Target="https://policydatabase.wcrf.org/" TargetMode="External"/><Relationship Id="rId3" Type="http://schemas.openxmlformats.org/officeDocument/2006/relationships/hyperlink" Target="https://eatforhealth.govcms.gov.au/sites/default/files/content/n55_australian_dietary_guidelines.pdf" TargetMode="External"/><Relationship Id="rId12" Type="http://schemas.openxmlformats.org/officeDocument/2006/relationships/hyperlink" Target="https://www.health.govt.nz/nz-health-statistics/health-statistics-and-data-sets/obesity-statistics" TargetMode="External"/><Relationship Id="rId17" Type="http://schemas.openxmlformats.org/officeDocument/2006/relationships/hyperlink" Target="https://www.mckinsey.com/~/media/mckinsey/business%20functions/economic%20studies%20temp/our%20insights/how%20the%20world%20could%20better%20fight%20obesity/mgi_overcoming_obesity_full_report.ashx" TargetMode="External"/><Relationship Id="rId25" Type="http://schemas.openxmlformats.org/officeDocument/2006/relationships/hyperlink" Target="https://www.abs.gov.au/ausstats/abs@.nsf/Lookup/by%20Subject/4364.0.55.001~2017-18~Main%20Features~Overweight%20and%20obesity~90" TargetMode="External"/><Relationship Id="rId33" Type="http://schemas.openxmlformats.org/officeDocument/2006/relationships/hyperlink" Target="http://www.fao.org/3/a-i8191e.pdf" TargetMode="External"/><Relationship Id="rId38" Type="http://schemas.openxmlformats.org/officeDocument/2006/relationships/hyperlink" Target="https://docs.wixstatic.com/ugd/2e3337_0f6ae07395914c0f9671bf9d310f80ca.pdf" TargetMode="External"/><Relationship Id="rId46" Type="http://schemas.openxmlformats.org/officeDocument/2006/relationships/hyperlink" Target="https://figshare.com/s/f29767b39641fffecd5f" TargetMode="External"/><Relationship Id="rId59" Type="http://schemas.openxmlformats.org/officeDocument/2006/relationships/hyperlink" Target="https://www.abs.gov.au/ausstats/abs@.nsf/Lookup/by%20Subject/4727.0.55.005~2012-13~Main%20Features~Fat~24" TargetMode="External"/><Relationship Id="rId67" Type="http://schemas.openxmlformats.org/officeDocument/2006/relationships/hyperlink" Target="https://www.nrv.gov.au/home" TargetMode="External"/><Relationship Id="rId20" Type="http://schemas.openxmlformats.org/officeDocument/2006/relationships/hyperlink" Target="https://doi.org/10.1002/14651858.CD009217.pub3" TargetMode="External"/><Relationship Id="rId41" Type="http://schemas.openxmlformats.org/officeDocument/2006/relationships/hyperlink" Target="https://www.australianbeverages.org/wp-content/uploads/2019/11/Sugar-reduction-pledge-Report-ABCL22102019.pdf" TargetMode="External"/><Relationship Id="rId54" Type="http://schemas.openxmlformats.org/officeDocument/2006/relationships/hyperlink" Target="http://www.healthstarrating.gov.au/internet/healthstarrating/publishing.nsf/Content/474CBBEC911CFF01CA25803A007E7B2B/$File/Report-on-the-Monitoring-of-the-Implementation-of-the-Health-Star-Rating-System-in-the-First-Four-Years-of-Implementation-June-2014-to-June-2018.pdf" TargetMode="External"/><Relationship Id="rId62" Type="http://schemas.openxmlformats.org/officeDocument/2006/relationships/hyperlink" Target="https://www.eatforhealth.gov.au/sites/default/files/content/n55_australian_dietary_guidelines.pdf" TargetMode="External"/><Relationship Id="rId70" Type="http://schemas.openxmlformats.org/officeDocument/2006/relationships/hyperlink" Target="https://www.abs.gov.au/ausstats/abs@.nsf/Lookup/by%20Subject/4364.0.55.007~2011-12~Main%20Features~Macronutrients~703" TargetMode="External"/><Relationship Id="rId75" Type="http://schemas.openxmlformats.org/officeDocument/2006/relationships/hyperlink" Target="https://www.who.int/docs/default-source/documents/replace-transfats/replace-trans-fat-faqs.pdf?Status=Temp&amp;sfvrsn=956d171f_6" TargetMode="External"/><Relationship Id="rId83" Type="http://schemas.openxmlformats.org/officeDocument/2006/relationships/hyperlink" Target="https://apps.who.int/iris/bitstream/handle/10665/94384/9789241506236_eng.pdf;jsessionid=E2419EF9D3852759369AFEADDB3F56D7?sequence=1" TargetMode="External"/><Relationship Id="rId88" Type="http://schemas.openxmlformats.org/officeDocument/2006/relationships/hyperlink" Target="https://researchspace.auckland.ac.nz/handle/2292/34830" TargetMode="External"/><Relationship Id="rId91" Type="http://schemas.openxmlformats.org/officeDocument/2006/relationships/hyperlink" Target="https://www.georgeinstitute.org/sites/default/files/meat_alternatives_key_findings_report.pdf" TargetMode="External"/><Relationship Id="rId1" Type="http://schemas.openxmlformats.org/officeDocument/2006/relationships/hyperlink" Target="https://eatforhealth.govcms.gov.au/sites/default/files/content/n55_australian_dietary_guidelines.pdf" TargetMode="External"/><Relationship Id="rId6" Type="http://schemas.openxmlformats.org/officeDocument/2006/relationships/hyperlink" Target="https://www.abs.gov.au/ausstats/abs@.nsf/Lookup/by%20Subject/4364.0.55.007~2011-12~Main%20Features~Fat~707" TargetMode="External"/><Relationship Id="rId15" Type="http://schemas.openxmlformats.org/officeDocument/2006/relationships/hyperlink" Target="http://ihmeuw.org/52z8" TargetMode="External"/><Relationship Id="rId23" Type="http://schemas.openxmlformats.org/officeDocument/2006/relationships/hyperlink" Target="https://www.foodstandards.gov.au/publications/Documents/Consumer%20label%20survey%202015/consumerlabelsurvey2015.pdf" TargetMode="External"/><Relationship Id="rId28" Type="http://schemas.openxmlformats.org/officeDocument/2006/relationships/hyperlink" Target="https://policydatabase.wcrf.org/" TargetMode="External"/><Relationship Id="rId36" Type="http://schemas.openxmlformats.org/officeDocument/2006/relationships/hyperlink" Target="https://www1.health.gov.au/internet/main/publishing.nsf/Content/fhd" TargetMode="External"/><Relationship Id="rId49" Type="http://schemas.openxmlformats.org/officeDocument/2006/relationships/hyperlink" Target="https://assets.publishing.service.gov.uk/government/uploads/system/uploads/attachment_data/file/765571/Salt_targets_2017_progress_report.pdf" TargetMode="External"/><Relationship Id="rId57" Type="http://schemas.openxmlformats.org/officeDocument/2006/relationships/hyperlink" Target="https://eatforhealth.govcms.gov.au/sites/default/files/content/n55_australian_dietary_guidelines.pdf" TargetMode="External"/><Relationship Id="rId10" Type="http://schemas.openxmlformats.org/officeDocument/2006/relationships/hyperlink" Target="https://www.aihw.gov.au/reports-data/behaviours-risk-factors/overweight-obesity/overview" TargetMode="External"/><Relationship Id="rId31" Type="http://schemas.openxmlformats.org/officeDocument/2006/relationships/hyperlink" Target="https://foodregulation.gov.au/internet/fr/publishing.nsf/Content/8C77229FB54166D5CA25835B007B2516/$File/FRSC-Rapid-Review-childhood-obesity-QUT-8-March-2018.pdf" TargetMode="External"/><Relationship Id="rId44" Type="http://schemas.openxmlformats.org/officeDocument/2006/relationships/hyperlink" Target="http://www.heinzwatties.co.nz/Health-Wellness/Nutrition-Health-and-Wellness-Initiatives" TargetMode="External"/><Relationship Id="rId52" Type="http://schemas.openxmlformats.org/officeDocument/2006/relationships/hyperlink" Target="https://www.gov.uk/government/publications/sugar-reduction-progress-between-2015-and-2018" TargetMode="External"/><Relationship Id="rId60" Type="http://schemas.openxmlformats.org/officeDocument/2006/relationships/hyperlink" Target="https://www.health.govt.nz/publication/focus-maori-nutrition" TargetMode="External"/><Relationship Id="rId65" Type="http://schemas.openxmlformats.org/officeDocument/2006/relationships/hyperlink" Target="http://www.roymorgan.com/findings/7599-australian-eating-habits-eating-in-out-march-2018-201805290253" TargetMode="External"/><Relationship Id="rId73" Type="http://schemas.openxmlformats.org/officeDocument/2006/relationships/hyperlink" Target="http://www.foodstandards.gov.au/publications/documents/TFAs_intakes_2009.pdf" TargetMode="External"/><Relationship Id="rId78" Type="http://schemas.openxmlformats.org/officeDocument/2006/relationships/hyperlink" Target="http://ihmeuw.org/52z8" TargetMode="External"/><Relationship Id="rId81" Type="http://schemas.openxmlformats.org/officeDocument/2006/relationships/hyperlink" Target="http://www.healthstarrating.gov.au/internet/healthstarrating/publishing.nsf/Content/D1562AA78A574853CA2581BD00828751/$File/Health-Star-Rating-System-Five-Year-Review-Report.pdf" TargetMode="External"/><Relationship Id="rId86" Type="http://schemas.openxmlformats.org/officeDocument/2006/relationships/hyperlink" Target="https://www.abs.gov.au/ausstats/abs@.nsf/Lookup/by%20Subject/4364.0.55.007~2011-12~Main%20Features~Sodium~715" TargetMode="External"/><Relationship Id="rId4" Type="http://schemas.openxmlformats.org/officeDocument/2006/relationships/hyperlink" Target="https://www.health.govt.nz/publication/eating-and-activity-guidelines-new-zealand-adults" TargetMode="External"/><Relationship Id="rId9" Type="http://schemas.openxmlformats.org/officeDocument/2006/relationships/hyperlink" Target="https://www.abs.gov.au/ausstats/abs@.nsf/Lookup/by%20Subject/4364.0.55.007~2011-12~Main%20Features~Sodium~7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6487dd-ec90-4f99-8970-1318e5f29791">
      <Value>14173</Value>
      <Value>1</Value>
    </TaxCatchAll>
    <Status xmlns="dcf7b372-aaaa-46d8-9da6-ade9aab953df" xsi:nil="true"/>
    <lcf76f155ced4ddcb4097134ff3c332f xmlns="dcf7b372-aaaa-46d8-9da6-ade9aab953df">
      <Terms xmlns="http://schemas.microsoft.com/office/infopath/2007/PartnerControls"/>
    </lcf76f155ced4ddcb4097134ff3c332f>
    <URLpattern xmlns="dcf7b372-aaaa-46d8-9da6-ade9aab953df" xsi:nil="true"/>
    <Reviewer xmlns="dcf7b372-aaaa-46d8-9da6-ade9aab953df" xsi:nil="true"/>
    <_Flow_SignoffStatus xmlns="dcf7b372-aaaa-46d8-9da6-ade9aab953df" xsi:nil="true"/>
    <Subtypes xmlns="dcf7b372-aaaa-46d8-9da6-ade9aab953df" xsi:nil="true"/>
    <Peerreviewed_x003f_ xmlns="dcf7b372-aaaa-46d8-9da6-ade9aab953df">false</Peerreviewed_x003f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43" ma:contentTypeDescription="Create a new document." ma:contentTypeScope="" ma:versionID="2ad65dcd2287509892a5262dc0626b5d">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68b8e78cdb2e0c6e71dafa509c2a0510" ns2:_="" ns3:_="">
    <xsd:import namespace="dcf7b372-aaaa-46d8-9da6-ade9aab953df"/>
    <xsd:import namespace="236487dd-ec90-4f99-8970-1318e5f29791"/>
    <xsd:element name="properties">
      <xsd:complexType>
        <xsd:sequence>
          <xsd:element name="documentManagement">
            <xsd:complexType>
              <xsd:all>
                <xsd:element ref="ns2:_Flow_SignoffStatus" minOccurs="0"/>
                <xsd:element ref="ns2:Reviewer" minOccurs="0"/>
                <xsd:element ref="ns2:Status" minOccurs="0"/>
                <xsd:element ref="ns2:Subtypes" minOccurs="0"/>
                <xsd:element ref="ns2:URLpatter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Peerreviewed_x003f_"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Reviewer" ma:index="3" nillable="true" ma:displayName="Use case" ma:description="Who is reviewing the content to ensure it is current, accurate and relevant?" ma:format="Dropdown" ma:internalName="Reviewer" ma:readOnly="false">
      <xsd:simpleType>
        <xsd:restriction base="dms:Text">
          <xsd:maxLength value="255"/>
        </xsd:restriction>
      </xsd:simpleType>
    </xsd:element>
    <xsd:element name="Status" ma:index="4" nillable="true" ma:displayName="Status" ma:format="Dropdown" ma:internalName="Status" ma:readOnly="false">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5" nillable="true" ma:displayName="Subtypes" ma:description="Subtypes available to the template&#10;" ma:format="Dropdown" ma:internalName="Subtypes" ma:readOnly="false">
      <xsd:simpleType>
        <xsd:restriction base="dms:Note">
          <xsd:maxLength value="255"/>
        </xsd:restriction>
      </xsd:simpleType>
    </xsd:element>
    <xsd:element name="URLpattern" ma:index="6" nillable="true" ma:displayName="URL pattern" ma:description="The URL pattern to be followed for all objects of this type" ma:format="Dropdown" ma:internalName="URLpattern"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Peerreviewed_x003f_" ma:index="28" nillable="true" ma:displayName="SME reviewed?" ma:default="0" ma:format="Dropdown" ma:internalName="Peerreviewed_x003f_">
      <xsd:simpleType>
        <xsd:restriction base="dms:Boolean"/>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5" nillable="true" ma:displayName="Taxonomy Catch All Column" ma:hidden="true" ma:list="{ac229c01-420d-4fb4-94f6-2b9ca1e2fb91}" ma:internalName="TaxCatchAll" ma:readOnly="false"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A6B31B-92F8-4B64-BE45-3023A3668270}">
  <ds:schemaRefs>
    <ds:schemaRef ds:uri="6637568d-731f-47ac-8a7d-43994d6101ab"/>
    <ds:schemaRef ds:uri="0cf9ff62-8827-435e-9c99-02ebe6456ffc"/>
    <ds:schemaRef ds:uri="http://purl.org/dc/elements/1.1/"/>
    <ds:schemaRef ds:uri="http://schemas.microsoft.com/office/2006/metadata/properties"/>
    <ds:schemaRef ds:uri="http://schemas.openxmlformats.org/package/2006/metadata/core-properties"/>
    <ds:schemaRef ds:uri="http://purl.org/dc/terms/"/>
    <ds:schemaRef ds:uri="01be4277-2979-4a68-876d-b92b25fceece"/>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D2833DD7-ABBD-497C-BC22-A8B5011677B9}">
  <ds:schemaRefs>
    <ds:schemaRef ds:uri="http://schemas.microsoft.com/sharepoint/v3/contenttype/forms"/>
  </ds:schemaRefs>
</ds:datastoreItem>
</file>

<file path=customXml/itemProps3.xml><?xml version="1.0" encoding="utf-8"?>
<ds:datastoreItem xmlns:ds="http://schemas.openxmlformats.org/officeDocument/2006/customXml" ds:itemID="{60E4F644-8214-41CC-9A71-E49937E943EB}">
  <ds:schemaRefs>
    <ds:schemaRef ds:uri="http://schemas.openxmlformats.org/officeDocument/2006/bibliography"/>
  </ds:schemaRefs>
</ds:datastoreItem>
</file>

<file path=customXml/itemProps4.xml><?xml version="1.0" encoding="utf-8"?>
<ds:datastoreItem xmlns:ds="http://schemas.openxmlformats.org/officeDocument/2006/customXml" ds:itemID="{93298C2D-D41A-458E-9E75-E0FFEC23C495}"/>
</file>

<file path=docProps/app.xml><?xml version="1.0" encoding="utf-8"?>
<Properties xmlns="http://schemas.openxmlformats.org/officeDocument/2006/extended-properties" xmlns:vt="http://schemas.openxmlformats.org/officeDocument/2006/docPropsVTypes">
  <Template>Normal.dotm</Template>
  <TotalTime>12</TotalTime>
  <Pages>60</Pages>
  <Words>21234</Words>
  <Characters>122526</Characters>
  <Application>Microsoft Office Word</Application>
  <DocSecurity>0</DocSecurity>
  <Lines>11138</Lines>
  <Paragraphs>3058</Paragraphs>
  <ScaleCrop>false</ScaleCrop>
  <HeadingPairs>
    <vt:vector size="2" baseType="variant">
      <vt:variant>
        <vt:lpstr>Title</vt:lpstr>
      </vt:variant>
      <vt:variant>
        <vt:i4>1</vt:i4>
      </vt:variant>
    </vt:vector>
  </HeadingPairs>
  <TitlesOfParts>
    <vt:vector size="1" baseType="lpstr">
      <vt:lpstr>Exploring options for improving the composition of the food supply</vt:lpstr>
    </vt:vector>
  </TitlesOfParts>
  <Company/>
  <LinksUpToDate>false</LinksUpToDate>
  <CharactersWithSpaces>140702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Exploring options for improving the composition of the food supply</dc:title>
  <dc:subject>Food supply</dc:subject>
  <dc:creator>Australian and New Zealand Forum on Food Regulation</dc:creator>
  <cp:keywords>food regulation; overweight; obesity; healthy dietary patterns; nutrient intakes; fats; sugars; sodium; salt</cp:keywords>
  <dc:description/>
  <cp:lastModifiedBy>MORRISON, Lisa</cp:lastModifiedBy>
  <cp:revision>3</cp:revision>
  <cp:lastPrinted>2020-08-03T22:28:00Z</cp:lastPrinted>
  <dcterms:created xsi:type="dcterms:W3CDTF">2023-08-08T06:26:00Z</dcterms:created>
  <dcterms:modified xsi:type="dcterms:W3CDTF">2023-08-08T06:38:00Z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0x010100BA217076F0871349BCBE5A6EC7EEC4B3</vt:lpwstr>
  </property>
</Properties>
</file>